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kern w:val="28"/>
          <w:sz w:val="32"/>
          <w:highlight w:val="none"/>
        </w:rPr>
      </w:pPr>
      <w:r>
        <w:rPr>
          <w:rFonts w:hint="eastAsia" w:ascii="仿宋" w:hAnsi="仿宋" w:eastAsia="仿宋" w:cs="仿宋"/>
          <w:b/>
          <w:kern w:val="28"/>
          <w:sz w:val="32"/>
          <w:highlight w:val="none"/>
        </w:rPr>
        <w:t>附件1： 资格审查条件</w:t>
      </w:r>
    </w:p>
    <w:p>
      <w:pPr>
        <w:adjustRightInd w:val="0"/>
        <w:spacing w:line="400" w:lineRule="exact"/>
        <w:jc w:val="center"/>
        <w:rPr>
          <w:rFonts w:hint="eastAsia" w:ascii="仿宋" w:hAnsi="仿宋" w:eastAsia="仿宋" w:cs="仿宋"/>
          <w:b/>
          <w:kern w:val="28"/>
          <w:sz w:val="32"/>
          <w:szCs w:val="32"/>
          <w:highlight w:val="none"/>
        </w:rPr>
      </w:pPr>
    </w:p>
    <w:p>
      <w:pPr>
        <w:spacing w:line="360" w:lineRule="auto"/>
        <w:jc w:val="center"/>
        <w:rPr>
          <w:rStyle w:val="11"/>
          <w:rFonts w:hint="eastAsia" w:ascii="仿宋" w:hAnsi="仿宋" w:eastAsia="仿宋" w:cs="仿宋"/>
          <w:b/>
          <w:sz w:val="32"/>
          <w:szCs w:val="32"/>
          <w:highlight w:val="none"/>
        </w:rPr>
      </w:pPr>
      <w:r>
        <w:rPr>
          <w:rStyle w:val="11"/>
          <w:rFonts w:hint="eastAsia" w:ascii="仿宋" w:hAnsi="仿宋" w:eastAsia="仿宋" w:cs="仿宋"/>
          <w:b/>
          <w:sz w:val="32"/>
          <w:szCs w:val="32"/>
          <w:highlight w:val="none"/>
        </w:rPr>
        <w:t>附录1  资格审查条件（资质最低条件）</w:t>
      </w:r>
    </w:p>
    <w:tbl>
      <w:tblPr>
        <w:tblStyle w:val="9"/>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378" w:firstLineChars="135"/>
              <w:jc w:val="left"/>
              <w:rPr>
                <w:rFonts w:hint="eastAsia" w:ascii="仿宋" w:hAnsi="仿宋" w:eastAsia="仿宋" w:cs="仿宋"/>
                <w:sz w:val="24"/>
                <w:szCs w:val="24"/>
                <w:highlight w:val="none"/>
                <w:lang w:eastAsia="zh-CN"/>
              </w:rPr>
            </w:pPr>
            <w:r>
              <w:rPr>
                <w:rFonts w:hint="eastAsia" w:ascii="仿宋" w:hAnsi="仿宋" w:eastAsia="仿宋" w:cs="仿宋"/>
                <w:sz w:val="28"/>
                <w:szCs w:val="28"/>
                <w:highlight w:val="none"/>
              </w:rPr>
              <w:t>具备独立法人资格，具有有效企业营业执照</w:t>
            </w:r>
            <w:r>
              <w:rPr>
                <w:rFonts w:hint="eastAsia" w:ascii="仿宋" w:hAnsi="仿宋" w:eastAsia="仿宋" w:cs="仿宋"/>
                <w:sz w:val="28"/>
                <w:szCs w:val="28"/>
                <w:highlight w:val="none"/>
                <w:lang w:val="en-US" w:eastAsia="zh-CN"/>
              </w:rPr>
              <w:t>;具有交通主管部门颁发的机动车维修二类或以上等级资格的《道路运输经营许可证》（或已在相关主管部门备案文件）</w:t>
            </w:r>
            <w:r>
              <w:rPr>
                <w:rFonts w:hint="eastAsia" w:ascii="仿宋" w:hAnsi="仿宋" w:eastAsia="仿宋" w:cs="仿宋"/>
                <w:sz w:val="28"/>
                <w:szCs w:val="28"/>
                <w:highlight w:val="none"/>
                <w:lang w:eastAsia="zh-CN"/>
              </w:rPr>
              <w:t>。</w:t>
            </w:r>
          </w:p>
        </w:tc>
      </w:tr>
    </w:tbl>
    <w:p>
      <w:pPr>
        <w:jc w:val="center"/>
        <w:rPr>
          <w:rStyle w:val="12"/>
          <w:rFonts w:hint="eastAsia" w:ascii="仿宋" w:hAnsi="仿宋" w:eastAsia="仿宋" w:cs="仿宋"/>
          <w:b/>
          <w:sz w:val="32"/>
          <w:szCs w:val="32"/>
          <w:highlight w:val="none"/>
        </w:rPr>
      </w:pPr>
    </w:p>
    <w:p>
      <w:pPr>
        <w:jc w:val="center"/>
        <w:rPr>
          <w:rStyle w:val="12"/>
          <w:rFonts w:hint="eastAsia" w:ascii="仿宋" w:hAnsi="仿宋" w:eastAsia="仿宋" w:cs="仿宋"/>
          <w:b/>
          <w:sz w:val="21"/>
          <w:szCs w:val="21"/>
          <w:highlight w:val="none"/>
        </w:rPr>
      </w:pPr>
      <w:r>
        <w:rPr>
          <w:rStyle w:val="12"/>
          <w:rFonts w:hint="eastAsia" w:ascii="仿宋" w:hAnsi="仿宋" w:eastAsia="仿宋" w:cs="仿宋"/>
          <w:b/>
          <w:sz w:val="32"/>
          <w:szCs w:val="32"/>
          <w:highlight w:val="none"/>
        </w:rPr>
        <w:t>附录2  资格审查条件（</w:t>
      </w:r>
      <w:r>
        <w:rPr>
          <w:rFonts w:hint="eastAsia" w:ascii="仿宋" w:hAnsi="仿宋" w:eastAsia="仿宋" w:cs="仿宋"/>
          <w:b/>
          <w:sz w:val="32"/>
          <w:szCs w:val="28"/>
          <w:highlight w:val="none"/>
        </w:rPr>
        <w:t>业绩最低条件</w:t>
      </w:r>
      <w:r>
        <w:rPr>
          <w:rStyle w:val="12"/>
          <w:rFonts w:hint="eastAsia" w:ascii="仿宋" w:hAnsi="仿宋" w:eastAsia="仿宋" w:cs="仿宋"/>
          <w:b/>
          <w:sz w:val="32"/>
          <w:szCs w:val="32"/>
          <w:highlight w:val="none"/>
        </w:rPr>
        <w:t>）</w:t>
      </w:r>
    </w:p>
    <w:p>
      <w:pPr>
        <w:rPr>
          <w:rFonts w:hint="eastAsia" w:ascii="仿宋" w:hAnsi="仿宋" w:eastAsia="仿宋" w:cs="仿宋"/>
          <w:b/>
          <w:szCs w:val="21"/>
          <w:highlight w:val="none"/>
        </w:rPr>
      </w:pP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spacing w:line="360" w:lineRule="auto"/>
              <w:ind w:firstLine="280" w:firstLineChars="100"/>
              <w:jc w:val="left"/>
              <w:rPr>
                <w:rFonts w:hint="eastAsia" w:ascii="仿宋" w:hAnsi="仿宋" w:eastAsia="仿宋" w:cs="仿宋"/>
                <w:sz w:val="24"/>
                <w:szCs w:val="24"/>
                <w:highlight w:val="none"/>
              </w:rPr>
            </w:pPr>
            <w:r>
              <w:rPr>
                <w:rFonts w:hint="eastAsia" w:ascii="仿宋" w:hAnsi="仿宋" w:eastAsia="仿宋" w:cs="仿宋"/>
                <w:sz w:val="28"/>
                <w:szCs w:val="28"/>
                <w:highlight w:val="none"/>
              </w:rPr>
              <w:t>近3年内（2019年12月1日至今，以合同签订时间为准）至少承担过一项车辆</w:t>
            </w:r>
            <w:r>
              <w:rPr>
                <w:rFonts w:hint="eastAsia" w:ascii="仿宋" w:hAnsi="仿宋" w:eastAsia="仿宋" w:cs="仿宋"/>
                <w:sz w:val="28"/>
                <w:szCs w:val="28"/>
                <w:highlight w:val="none"/>
                <w:lang w:eastAsia="zh-CN"/>
              </w:rPr>
              <w:t>定点</w:t>
            </w:r>
            <w:r>
              <w:rPr>
                <w:rFonts w:hint="eastAsia" w:ascii="仿宋" w:hAnsi="仿宋" w:eastAsia="仿宋" w:cs="仿宋"/>
                <w:sz w:val="28"/>
                <w:szCs w:val="28"/>
                <w:highlight w:val="none"/>
              </w:rPr>
              <w:t>维修项目。</w:t>
            </w:r>
          </w:p>
        </w:tc>
      </w:tr>
    </w:tbl>
    <w:p>
      <w:pPr>
        <w:jc w:val="center"/>
        <w:rPr>
          <w:rFonts w:hint="eastAsia" w:ascii="仿宋" w:hAnsi="仿宋" w:eastAsia="仿宋" w:cs="仿宋"/>
          <w:b/>
          <w:sz w:val="32"/>
          <w:szCs w:val="28"/>
          <w:highlight w:val="none"/>
        </w:rPr>
      </w:pPr>
    </w:p>
    <w:p>
      <w:pPr>
        <w:spacing w:line="360" w:lineRule="auto"/>
        <w:jc w:val="center"/>
        <w:rPr>
          <w:rFonts w:hint="eastAsia" w:ascii="仿宋" w:hAnsi="仿宋" w:eastAsia="仿宋" w:cs="仿宋"/>
          <w:b/>
          <w:sz w:val="32"/>
          <w:szCs w:val="28"/>
          <w:highlight w:val="none"/>
        </w:rPr>
      </w:pPr>
    </w:p>
    <w:p>
      <w:pPr>
        <w:spacing w:line="360" w:lineRule="auto"/>
        <w:jc w:val="center"/>
        <w:rPr>
          <w:rFonts w:hint="eastAsia" w:ascii="仿宋" w:hAnsi="仿宋" w:eastAsia="仿宋" w:cs="仿宋"/>
          <w:b/>
          <w:sz w:val="32"/>
          <w:szCs w:val="28"/>
          <w:highlight w:val="none"/>
        </w:rPr>
      </w:pPr>
      <w:r>
        <w:rPr>
          <w:rFonts w:hint="eastAsia" w:ascii="仿宋" w:hAnsi="仿宋" w:eastAsia="仿宋" w:cs="仿宋"/>
          <w:b/>
          <w:sz w:val="32"/>
          <w:szCs w:val="28"/>
          <w:highlight w:val="none"/>
        </w:rPr>
        <w:t>附录3  资格审查条件（信誉最低条件）</w:t>
      </w: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560" w:firstLineChars="200"/>
              <w:jc w:val="left"/>
              <w:rPr>
                <w:rFonts w:hint="eastAsia" w:ascii="仿宋" w:hAnsi="仿宋" w:eastAsia="仿宋" w:cs="仿宋"/>
                <w:sz w:val="24"/>
                <w:szCs w:val="24"/>
                <w:highlight w:val="none"/>
              </w:rPr>
            </w:pPr>
            <w:r>
              <w:rPr>
                <w:rFonts w:hint="eastAsia" w:ascii="仿宋" w:hAnsi="仿宋" w:eastAsia="仿宋" w:cs="仿宋"/>
                <w:sz w:val="28"/>
                <w:szCs w:val="32"/>
                <w:highlight w:val="none"/>
              </w:rPr>
              <w:t>投标人在近1年内(2021年12月1日至今)不曾在</w:t>
            </w:r>
            <w:r>
              <w:rPr>
                <w:rFonts w:hint="eastAsia" w:ascii="仿宋" w:hAnsi="仿宋" w:eastAsia="仿宋" w:cs="仿宋"/>
                <w:sz w:val="28"/>
                <w:szCs w:val="32"/>
                <w:highlight w:val="none"/>
                <w:lang w:val="en-US" w:eastAsia="zh-CN"/>
              </w:rPr>
              <w:t>高速公路车辆维修保养</w:t>
            </w:r>
            <w:r>
              <w:rPr>
                <w:rFonts w:hint="eastAsia" w:ascii="仿宋" w:hAnsi="仿宋" w:eastAsia="仿宋" w:cs="仿宋"/>
                <w:sz w:val="28"/>
                <w:szCs w:val="32"/>
                <w:highlight w:val="none"/>
              </w:rPr>
              <w:t>合同执行中被驱逐或因投标人自身的原因而使合同被解除。</w:t>
            </w:r>
          </w:p>
        </w:tc>
      </w:tr>
    </w:tbl>
    <w:p>
      <w:pPr>
        <w:tabs>
          <w:tab w:val="left" w:pos="3300"/>
        </w:tabs>
        <w:spacing w:line="360" w:lineRule="auto"/>
        <w:rPr>
          <w:rFonts w:hint="eastAsia" w:ascii="仿宋" w:hAnsi="仿宋" w:eastAsia="仿宋" w:cs="仿宋"/>
          <w:b/>
          <w:sz w:val="32"/>
          <w:szCs w:val="28"/>
          <w:highlight w:val="none"/>
        </w:rPr>
      </w:pPr>
    </w:p>
    <w:p>
      <w:pPr>
        <w:spacing w:line="360" w:lineRule="auto"/>
        <w:rPr>
          <w:rFonts w:hint="eastAsia" w:ascii="仿宋" w:hAnsi="仿宋" w:eastAsia="仿宋" w:cs="仿宋"/>
          <w:b/>
          <w:sz w:val="32"/>
          <w:szCs w:val="28"/>
          <w:highlight w:val="none"/>
        </w:rPr>
      </w:pPr>
    </w:p>
    <w:p>
      <w:pPr>
        <w:spacing w:line="400" w:lineRule="exact"/>
        <w:jc w:val="left"/>
        <w:rPr>
          <w:rFonts w:hint="eastAsia" w:ascii="仿宋" w:hAnsi="仿宋" w:eastAsia="仿宋" w:cs="仿宋"/>
          <w:b/>
          <w:sz w:val="40"/>
          <w:szCs w:val="36"/>
          <w:highlight w:val="none"/>
        </w:rPr>
      </w:pPr>
      <w:r>
        <w:rPr>
          <w:rFonts w:hint="eastAsia" w:ascii="仿宋" w:hAnsi="仿宋" w:eastAsia="仿宋" w:cs="仿宋"/>
          <w:b/>
          <w:kern w:val="28"/>
          <w:sz w:val="24"/>
          <w:szCs w:val="24"/>
          <w:highlight w:val="none"/>
        </w:rPr>
        <w:br w:type="page"/>
      </w:r>
      <w:r>
        <w:rPr>
          <w:rFonts w:hint="eastAsia" w:ascii="仿宋" w:hAnsi="仿宋" w:eastAsia="仿宋" w:cs="仿宋"/>
          <w:b/>
          <w:sz w:val="32"/>
          <w:szCs w:val="28"/>
          <w:highlight w:val="none"/>
        </w:rPr>
        <w:t>评标办法前附表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w:t>
            </w:r>
          </w:p>
        </w:tc>
        <w:tc>
          <w:tcPr>
            <w:tcW w:w="1317" w:type="dxa"/>
            <w:noWrap w:val="0"/>
            <w:vAlign w:val="center"/>
          </w:tcPr>
          <w:p>
            <w:pPr>
              <w:spacing w:line="400" w:lineRule="exact"/>
              <w:jc w:val="center"/>
              <w:rPr>
                <w:rFonts w:hint="eastAsia" w:ascii="仿宋" w:hAnsi="仿宋" w:eastAsia="仿宋" w:cs="仿宋"/>
                <w:b/>
                <w:sz w:val="28"/>
                <w:szCs w:val="32"/>
                <w:highlight w:val="none"/>
              </w:rPr>
            </w:pPr>
            <w:r>
              <w:rPr>
                <w:rFonts w:hint="eastAsia" w:ascii="仿宋" w:hAnsi="仿宋" w:eastAsia="仿宋" w:cs="仿宋"/>
                <w:sz w:val="28"/>
                <w:szCs w:val="28"/>
                <w:highlight w:val="none"/>
              </w:rPr>
              <w:t>评标办法</w:t>
            </w:r>
          </w:p>
        </w:tc>
        <w:tc>
          <w:tcPr>
            <w:tcW w:w="7197" w:type="dxa"/>
            <w:noWrap w:val="0"/>
            <w:vAlign w:val="center"/>
          </w:tcPr>
          <w:p>
            <w:pPr>
              <w:snapToGrid w:val="0"/>
              <w:spacing w:line="400" w:lineRule="exact"/>
              <w:jc w:val="left"/>
              <w:textAlignment w:val="baseline"/>
              <w:rPr>
                <w:rFonts w:hint="eastAsia" w:ascii="仿宋" w:hAnsi="仿宋" w:eastAsia="仿宋" w:cs="仿宋"/>
                <w:sz w:val="28"/>
                <w:szCs w:val="32"/>
                <w:highlight w:val="none"/>
              </w:rPr>
            </w:pPr>
            <w:r>
              <w:rPr>
                <w:rFonts w:hint="eastAsia" w:ascii="仿宋" w:hAnsi="仿宋" w:eastAsia="仿宋" w:cs="仿宋"/>
                <w:sz w:val="28"/>
                <w:szCs w:val="32"/>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（1）评标价低的投标人优先；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（2）技术得分较高的投标人优先；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（3）投标人近</w:t>
            </w:r>
            <w:r>
              <w:rPr>
                <w:rFonts w:hint="eastAsia" w:ascii="仿宋" w:hAnsi="仿宋" w:eastAsia="仿宋" w:cs="仿宋"/>
                <w:sz w:val="28"/>
                <w:szCs w:val="32"/>
                <w:highlight w:val="none"/>
                <w:lang w:val="en-US" w:eastAsia="zh-CN"/>
              </w:rPr>
              <w:t>3</w:t>
            </w:r>
            <w:r>
              <w:rPr>
                <w:rFonts w:hint="eastAsia" w:ascii="仿宋" w:hAnsi="仿宋" w:eastAsia="仿宋" w:cs="仿宋"/>
                <w:sz w:val="28"/>
                <w:szCs w:val="32"/>
                <w:highlight w:val="none"/>
              </w:rPr>
              <w:t>年内满足资格审查条件(业绩最低条件)要求的业绩累计金额高的优先。</w:t>
            </w:r>
          </w:p>
          <w:p>
            <w:pPr>
              <w:pStyle w:val="3"/>
              <w:spacing w:line="400" w:lineRule="exact"/>
              <w:rPr>
                <w:rFonts w:hint="eastAsia" w:ascii="仿宋" w:hAnsi="仿宋" w:eastAsia="仿宋" w:cs="仿宋"/>
                <w:sz w:val="40"/>
                <w:szCs w:val="36"/>
                <w:highlight w:val="none"/>
              </w:rPr>
            </w:pPr>
            <w:r>
              <w:rPr>
                <w:rFonts w:hint="eastAsia" w:ascii="仿宋" w:hAnsi="仿宋" w:eastAsia="仿宋" w:cs="仿宋"/>
                <w:szCs w:val="28"/>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2.1.1</w:t>
            </w:r>
          </w:p>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形式评审与投标性评审标准</w:t>
            </w:r>
          </w:p>
        </w:tc>
        <w:tc>
          <w:tcPr>
            <w:tcW w:w="7197" w:type="dxa"/>
            <w:noWrap w:val="0"/>
            <w:vAlign w:val="top"/>
          </w:tcPr>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第一个信封（商务及技术文件）评审标准: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a.投标函按招标文件规定填报了项目名称、补遗书编号（如有）、服务期限信息；</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（3）投标人按照招标文件的规定提供了投标保证金：</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a.投标保证金金额符合招标文件规定的金额，且投标保证金有效期不少于投标有效期；</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b.若投标保证金采用电汇或转账形式提交，投标人应在递交投标文件截止时间之前，将投标保证金由投标人的基本账户转入招标人指定账户；</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（5）投标人法定代表人亲自签署投标文件的，提供了法定代表人身份证明，法定代表人身份证明的签字盖章符合招标文件规定。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（6）投标人未以联合体形式投标。</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（7）投标人未对本项目提出分包计划。</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（8）同一投标人未提交两个以上不同的投标文件。</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（9）投标文件中未出现有关投标报价的内容。</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（10）投标文件载明的招标项目完成期限未超过招标文件规定的时限。</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（11）投标文件对招标文件的实质性要求和条件作出投标。</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（12）权利义务符合招标文件规定：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a.投标人应接受招标文件规定的风险划分原则，未提出新的风险划分办法；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b.投标人未增加发包人的责任范围，或减少投标人义务；</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c.投标人未提出不同的支付办法；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d.投标人对合同纠纷、事故处理办法未提出异议；</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e.投标人在投标活动中无欺诈行为；</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f.投标人未对合同条款有重要保留。</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第二个信封（报价文件）评审标准：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a.投标函按招标文件规定填报了项目名称、补遗书编号（如有）、投标价（包括大写金额和小写金额）；</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（3）投标报价中的报价未超过招标文件设定的最高投标限价。</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（4）投标报价中报价的大写金额能够确定具体数值。</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资格评审标准</w:t>
            </w:r>
          </w:p>
        </w:tc>
        <w:tc>
          <w:tcPr>
            <w:tcW w:w="7197" w:type="dxa"/>
            <w:noWrap w:val="0"/>
            <w:vAlign w:val="top"/>
          </w:tcPr>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（1）投标人具备有效的营业执照、组织机构代码证（三证合一或五证合一的除外）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机动车维修二类或以上等级资格的《道路运输经营许可证》（或已在相关主管部门备案文件）</w:t>
            </w:r>
            <w:r>
              <w:rPr>
                <w:rFonts w:hint="eastAsia" w:ascii="仿宋" w:hAnsi="仿宋" w:eastAsia="仿宋" w:cs="仿宋"/>
                <w:sz w:val="28"/>
                <w:szCs w:val="28"/>
                <w:highlight w:val="none"/>
              </w:rPr>
              <w:t>和基本账户开户许可证（或基本存款账户信息）；</w:t>
            </w:r>
          </w:p>
          <w:p>
            <w:pPr>
              <w:pStyle w:val="3"/>
              <w:spacing w:line="400" w:lineRule="exact"/>
              <w:rPr>
                <w:rFonts w:hint="eastAsia" w:ascii="仿宋" w:hAnsi="仿宋" w:eastAsia="仿宋" w:cs="仿宋"/>
                <w:szCs w:val="28"/>
                <w:highlight w:val="none"/>
              </w:rPr>
            </w:pPr>
            <w:r>
              <w:rPr>
                <w:rFonts w:hint="eastAsia" w:ascii="仿宋" w:hAnsi="仿宋" w:eastAsia="仿宋" w:cs="仿宋"/>
                <w:szCs w:val="28"/>
                <w:highlight w:val="none"/>
              </w:rPr>
              <w:t>（2）投标人的类似项目业绩符合招标文件规定；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（3）投标人的信誉符合招标文件规定；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131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条款内容</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2.2.1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分值构成（总分100分）</w:t>
            </w:r>
          </w:p>
        </w:tc>
        <w:tc>
          <w:tcPr>
            <w:tcW w:w="7197" w:type="dxa"/>
            <w:noWrap w:val="0"/>
            <w:vAlign w:val="center"/>
          </w:tcPr>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第一个信封（商务及技术文件）评分分值构成：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同类业绩：       20分</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服务方案：       </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0分</w:t>
            </w:r>
          </w:p>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第二个信封（报价文件）评分分值构成：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评 标 价：</w:t>
            </w:r>
            <w:r>
              <w:rPr>
                <w:rFonts w:hint="eastAsia" w:ascii="仿宋" w:hAnsi="仿宋" w:eastAsia="仿宋" w:cs="仿宋"/>
                <w:sz w:val="28"/>
                <w:szCs w:val="32"/>
                <w:highlight w:val="none"/>
                <w:lang w:val="en-US" w:eastAsia="zh-CN"/>
              </w:rPr>
              <w:t>3</w:t>
            </w:r>
            <w:r>
              <w:rPr>
                <w:rFonts w:hint="eastAsia" w:ascii="仿宋" w:hAnsi="仿宋" w:eastAsia="仿宋" w:cs="仿宋"/>
                <w:sz w:val="28"/>
                <w:szCs w:val="3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评标基准价计算方法</w:t>
            </w:r>
          </w:p>
        </w:tc>
        <w:tc>
          <w:tcPr>
            <w:tcW w:w="7197" w:type="dxa"/>
            <w:noWrap w:val="0"/>
            <w:vAlign w:val="center"/>
          </w:tcPr>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评标基准价的计算：</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  开标现场，招标人将当场计算并宣布评标基准价。</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1、评标价的确定：</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评标价=投标函文字报价</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2、评标价平均值的计算：</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3、评标基准价的确定： </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评标价平均值直接作为评标基准价。 </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评标基准价保留小数点后两位，小数点后第三位四舍五入。</w:t>
            </w:r>
          </w:p>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评标价的偏差率计算公式</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3.6.1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信息查询</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在评标过程中，评标委员会应对以下信息进行查询：</w:t>
            </w:r>
          </w:p>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28"/>
                <w:highlight w:val="none"/>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hint="eastAsia" w:ascii="仿宋" w:hAnsi="仿宋" w:eastAsia="仿宋" w:cs="仿宋"/>
          <w:sz w:val="32"/>
          <w:szCs w:val="36"/>
          <w:highlight w:val="none"/>
        </w:rPr>
      </w:pPr>
    </w:p>
    <w:p>
      <w:pPr>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br w:type="page"/>
      </w:r>
    </w:p>
    <w:tbl>
      <w:tblPr>
        <w:tblStyle w:val="9"/>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154" w:type="dxa"/>
            <w:gridSpan w:val="2"/>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评审项目</w:t>
            </w:r>
          </w:p>
        </w:tc>
        <w:tc>
          <w:tcPr>
            <w:tcW w:w="843"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标准分</w:t>
            </w:r>
          </w:p>
        </w:tc>
        <w:tc>
          <w:tcPr>
            <w:tcW w:w="5978"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1</w:t>
            </w:r>
          </w:p>
        </w:tc>
        <w:tc>
          <w:tcPr>
            <w:tcW w:w="2154" w:type="dxa"/>
            <w:gridSpan w:val="2"/>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同类业绩</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满足资格审查条件(业绩最低要求)得12分；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sz w:val="28"/>
                <w:szCs w:val="28"/>
                <w:highlight w:val="none"/>
              </w:rPr>
              <w:t>近3年内（2019年12月1日至今，以合同签订时间为准）</w:t>
            </w:r>
            <w:r>
              <w:rPr>
                <w:rFonts w:hint="eastAsia" w:ascii="仿宋" w:hAnsi="仿宋" w:eastAsia="仿宋" w:cs="仿宋"/>
                <w:bCs/>
                <w:sz w:val="28"/>
                <w:szCs w:val="28"/>
                <w:highlight w:val="none"/>
              </w:rPr>
              <w:t>每增加一项车辆</w:t>
            </w:r>
            <w:r>
              <w:rPr>
                <w:rFonts w:hint="eastAsia" w:ascii="仿宋" w:hAnsi="仿宋" w:eastAsia="仿宋" w:cs="仿宋"/>
                <w:bCs/>
                <w:sz w:val="28"/>
                <w:szCs w:val="28"/>
                <w:highlight w:val="none"/>
                <w:lang w:eastAsia="zh-CN"/>
              </w:rPr>
              <w:t>定点</w:t>
            </w:r>
            <w:r>
              <w:rPr>
                <w:rFonts w:hint="eastAsia" w:ascii="仿宋" w:hAnsi="仿宋" w:eastAsia="仿宋" w:cs="仿宋"/>
                <w:bCs/>
                <w:sz w:val="28"/>
                <w:szCs w:val="28"/>
                <w:highlight w:val="none"/>
              </w:rPr>
              <w:t>维修项目业绩加4分，最高加8分。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2</w:t>
            </w:r>
          </w:p>
        </w:tc>
        <w:tc>
          <w:tcPr>
            <w:tcW w:w="1030" w:type="dxa"/>
            <w:vMerge w:val="restart"/>
            <w:tcBorders>
              <w:left w:val="single" w:color="auto" w:sz="2" w:space="0"/>
              <w:righ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服务方案</w:t>
            </w:r>
          </w:p>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0分）</w:t>
            </w:r>
          </w:p>
        </w:tc>
        <w:tc>
          <w:tcPr>
            <w:tcW w:w="1124" w:type="dxa"/>
            <w:tcBorders>
              <w:left w:val="single" w:color="auto" w:sz="2" w:space="0"/>
            </w:tcBorders>
            <w:noWrap w:val="0"/>
            <w:vAlign w:val="center"/>
          </w:tcPr>
          <w:p>
            <w:pPr>
              <w:snapToGrid w:val="0"/>
              <w:spacing w:before="120" w:beforeLines="50" w:after="120" w:afterLines="50"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项目团队</w:t>
            </w:r>
            <w:r>
              <w:rPr>
                <w:rFonts w:hint="eastAsia" w:ascii="仿宋" w:hAnsi="仿宋" w:eastAsia="仿宋" w:cs="仿宋"/>
                <w:bCs/>
                <w:sz w:val="28"/>
                <w:szCs w:val="28"/>
                <w:highlight w:val="none"/>
                <w:lang w:val="en-US" w:eastAsia="zh-CN"/>
              </w:rPr>
              <w:t>专业素质及水平</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根据投标人项目实施团队人员配备</w:t>
            </w:r>
            <w:r>
              <w:rPr>
                <w:rFonts w:hint="eastAsia" w:ascii="仿宋" w:hAnsi="仿宋" w:eastAsia="仿宋" w:cs="仿宋"/>
                <w:bCs/>
                <w:sz w:val="28"/>
                <w:szCs w:val="28"/>
                <w:highlight w:val="none"/>
                <w:lang w:val="en-US" w:eastAsia="zh-CN"/>
              </w:rPr>
              <w:t>及专业素质水平</w:t>
            </w:r>
            <w:r>
              <w:rPr>
                <w:rFonts w:hint="eastAsia" w:ascii="仿宋" w:hAnsi="仿宋" w:eastAsia="仿宋" w:cs="仿宋"/>
                <w:bCs/>
                <w:sz w:val="28"/>
                <w:szCs w:val="28"/>
                <w:highlight w:val="none"/>
              </w:rPr>
              <w:t>优劣进行比较打分：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第一档，实施团队人员配备完善、合理，团队人员构成专业性强、经验丰富符合项目特点的，得18.01-20分； </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第二档，实施团队人员配备健全、合理，团队人员构成和专业性较好，相关经验较丰富，符合项目需求的，得15.01-18分； </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第三档，实施团队人员配备人员构成基本合理，专业性和相关经验有欠缺或低于其他档次投标人，得12-15分。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质量、安全、管理等制度保证体系</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分</w:t>
            </w:r>
          </w:p>
        </w:tc>
        <w:tc>
          <w:tcPr>
            <w:tcW w:w="5978" w:type="dxa"/>
            <w:noWrap w:val="0"/>
            <w:vAlign w:val="center"/>
          </w:tcPr>
          <w:p>
            <w:pPr>
              <w:numPr>
                <w:ilvl w:val="0"/>
                <w:numId w:val="0"/>
              </w:numPr>
              <w:snapToGrid w:val="0"/>
              <w:spacing w:line="400" w:lineRule="exact"/>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rPr>
              <w:t>根据投标人</w:t>
            </w:r>
            <w:r>
              <w:rPr>
                <w:rFonts w:hint="eastAsia" w:ascii="仿宋" w:hAnsi="仿宋" w:eastAsia="仿宋" w:cs="仿宋"/>
                <w:bCs/>
                <w:sz w:val="28"/>
                <w:szCs w:val="28"/>
                <w:highlight w:val="none"/>
                <w:lang w:eastAsia="zh-CN"/>
              </w:rPr>
              <w:t>维修标准</w:t>
            </w:r>
            <w:r>
              <w:rPr>
                <w:rFonts w:hint="eastAsia" w:ascii="仿宋" w:hAnsi="仿宋" w:eastAsia="仿宋" w:cs="仿宋"/>
                <w:sz w:val="28"/>
                <w:szCs w:val="28"/>
                <w:highlight w:val="none"/>
              </w:rPr>
              <w:t>质量管理制度、安全生产管理制度、设备管理制度、配件的管理制度等</w:t>
            </w:r>
            <w:r>
              <w:rPr>
                <w:rFonts w:hint="eastAsia" w:ascii="仿宋" w:hAnsi="仿宋" w:eastAsia="仿宋" w:cs="仿宋"/>
                <w:sz w:val="28"/>
                <w:szCs w:val="28"/>
                <w:highlight w:val="none"/>
                <w:lang w:eastAsia="zh-CN"/>
              </w:rPr>
              <w:t>综合评价</w:t>
            </w:r>
          </w:p>
          <w:p>
            <w:pPr>
              <w:numPr>
                <w:ilvl w:val="0"/>
                <w:numId w:val="0"/>
              </w:num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第一档，维修标准、质量及体系</w:t>
            </w:r>
            <w:r>
              <w:rPr>
                <w:rFonts w:hint="eastAsia" w:ascii="仿宋" w:hAnsi="仿宋" w:eastAsia="仿宋" w:cs="仿宋"/>
                <w:bCs/>
                <w:sz w:val="28"/>
                <w:szCs w:val="28"/>
                <w:highlight w:val="none"/>
                <w:lang w:eastAsia="zh-CN"/>
              </w:rPr>
              <w:t>安全保障等制度</w:t>
            </w:r>
            <w:r>
              <w:rPr>
                <w:rFonts w:hint="eastAsia" w:ascii="仿宋" w:hAnsi="仿宋" w:eastAsia="仿宋" w:cs="仿宋"/>
                <w:bCs/>
                <w:sz w:val="28"/>
                <w:szCs w:val="28"/>
                <w:highlight w:val="none"/>
              </w:rPr>
              <w:t>科学合理，总体方案完整、内容齐全，有针对性，得1</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.01-</w:t>
            </w: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第二档，维修标准、质量及体系</w:t>
            </w:r>
            <w:r>
              <w:rPr>
                <w:rFonts w:hint="eastAsia" w:ascii="仿宋" w:hAnsi="仿宋" w:eastAsia="仿宋" w:cs="仿宋"/>
                <w:bCs/>
                <w:sz w:val="28"/>
                <w:szCs w:val="28"/>
                <w:highlight w:val="none"/>
                <w:lang w:eastAsia="zh-CN"/>
              </w:rPr>
              <w:t>安全保障等制度</w:t>
            </w:r>
            <w:r>
              <w:rPr>
                <w:rFonts w:hint="eastAsia" w:ascii="仿宋" w:hAnsi="仿宋" w:eastAsia="仿宋" w:cs="仿宋"/>
                <w:bCs/>
                <w:sz w:val="28"/>
                <w:szCs w:val="28"/>
                <w:highlight w:val="none"/>
              </w:rPr>
              <w:t>较科学合理，总体方案较完整，得1</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.01-1</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第三档，维修标准、质量及体系</w:t>
            </w:r>
            <w:r>
              <w:rPr>
                <w:rFonts w:hint="eastAsia" w:ascii="仿宋" w:hAnsi="仿宋" w:eastAsia="仿宋" w:cs="仿宋"/>
                <w:bCs/>
                <w:sz w:val="28"/>
                <w:szCs w:val="28"/>
                <w:highlight w:val="none"/>
                <w:lang w:eastAsia="zh-CN"/>
              </w:rPr>
              <w:t>安全保障等制度</w:t>
            </w:r>
            <w:r>
              <w:rPr>
                <w:rFonts w:hint="eastAsia" w:ascii="仿宋" w:hAnsi="仿宋" w:eastAsia="仿宋" w:cs="仿宋"/>
                <w:bCs/>
                <w:sz w:val="28"/>
                <w:szCs w:val="28"/>
                <w:highlight w:val="none"/>
              </w:rPr>
              <w:t>欠合理，总体方案过于简单，得</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实施方案综合评价</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分</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根据投标人服务实施方案、维修大</w:t>
            </w:r>
            <w:r>
              <w:rPr>
                <w:rFonts w:hint="eastAsia" w:ascii="仿宋" w:hAnsi="仿宋" w:eastAsia="仿宋" w:cs="仿宋"/>
                <w:bCs/>
                <w:sz w:val="28"/>
                <w:szCs w:val="28"/>
                <w:highlight w:val="none"/>
                <w:lang w:eastAsia="zh-CN"/>
              </w:rPr>
              <w:t>中小</w:t>
            </w:r>
            <w:r>
              <w:rPr>
                <w:rFonts w:hint="eastAsia" w:ascii="仿宋" w:hAnsi="仿宋" w:eastAsia="仿宋" w:cs="仿宋"/>
                <w:bCs/>
                <w:sz w:val="28"/>
                <w:szCs w:val="28"/>
                <w:highlight w:val="none"/>
              </w:rPr>
              <w:t>型车辆的设备、技术服务完备程度、</w:t>
            </w:r>
            <w:r>
              <w:rPr>
                <w:rFonts w:hint="eastAsia" w:ascii="仿宋" w:hAnsi="仿宋" w:eastAsia="仿宋" w:cs="仿宋"/>
                <w:bCs/>
                <w:sz w:val="28"/>
                <w:szCs w:val="28"/>
                <w:highlight w:val="none"/>
                <w:lang w:eastAsia="zh-CN"/>
              </w:rPr>
              <w:t>门店分布</w:t>
            </w:r>
            <w:r>
              <w:rPr>
                <w:rFonts w:hint="eastAsia" w:ascii="仿宋" w:hAnsi="仿宋" w:eastAsia="仿宋" w:cs="仿宋"/>
                <w:bCs/>
                <w:sz w:val="28"/>
                <w:szCs w:val="28"/>
                <w:highlight w:val="none"/>
              </w:rPr>
              <w:t>配备和团队情况</w:t>
            </w:r>
            <w:r>
              <w:rPr>
                <w:rFonts w:hint="eastAsia" w:ascii="仿宋" w:hAnsi="仿宋" w:eastAsia="仿宋" w:cs="仿宋"/>
                <w:bCs/>
                <w:sz w:val="28"/>
                <w:szCs w:val="28"/>
                <w:highlight w:val="none"/>
                <w:lang w:eastAsia="zh-CN"/>
              </w:rPr>
              <w:t>等</w:t>
            </w:r>
            <w:r>
              <w:rPr>
                <w:rFonts w:hint="eastAsia" w:ascii="仿宋" w:hAnsi="仿宋" w:eastAsia="仿宋" w:cs="仿宋"/>
                <w:bCs/>
                <w:sz w:val="28"/>
                <w:szCs w:val="28"/>
                <w:highlight w:val="none"/>
              </w:rPr>
              <w:t>进行综合打分：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第一档，维修大</w:t>
            </w:r>
            <w:r>
              <w:rPr>
                <w:rFonts w:hint="eastAsia" w:ascii="仿宋" w:hAnsi="仿宋" w:eastAsia="仿宋" w:cs="仿宋"/>
                <w:bCs/>
                <w:sz w:val="28"/>
                <w:szCs w:val="28"/>
                <w:highlight w:val="none"/>
                <w:lang w:eastAsia="zh-CN"/>
              </w:rPr>
              <w:t>中小</w:t>
            </w:r>
            <w:r>
              <w:rPr>
                <w:rFonts w:hint="eastAsia" w:ascii="仿宋" w:hAnsi="仿宋" w:eastAsia="仿宋" w:cs="仿宋"/>
                <w:bCs/>
                <w:sz w:val="28"/>
                <w:szCs w:val="28"/>
                <w:highlight w:val="none"/>
              </w:rPr>
              <w:t>型车辆的设备、技术服务完备，方案合理，内容详细，措施完善，可行性强，完全满足或优于招标要求，得1</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.01-</w:t>
            </w: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第二档，维修大</w:t>
            </w:r>
            <w:r>
              <w:rPr>
                <w:rFonts w:hint="eastAsia" w:ascii="仿宋" w:hAnsi="仿宋" w:eastAsia="仿宋" w:cs="仿宋"/>
                <w:bCs/>
                <w:sz w:val="28"/>
                <w:szCs w:val="28"/>
                <w:highlight w:val="none"/>
                <w:lang w:eastAsia="zh-CN"/>
              </w:rPr>
              <w:t>中小</w:t>
            </w:r>
            <w:r>
              <w:rPr>
                <w:rFonts w:hint="eastAsia" w:ascii="仿宋" w:hAnsi="仿宋" w:eastAsia="仿宋" w:cs="仿宋"/>
                <w:bCs/>
                <w:sz w:val="28"/>
                <w:szCs w:val="28"/>
                <w:highlight w:val="none"/>
              </w:rPr>
              <w:t>型车辆的设备、技术服务较完备，方案较合理，内容较详细，措施合理，可行性较好，达到招标要求，得1</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.01-1</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第三档，维修大</w:t>
            </w:r>
            <w:r>
              <w:rPr>
                <w:rFonts w:hint="eastAsia" w:ascii="仿宋" w:hAnsi="仿宋" w:eastAsia="仿宋" w:cs="仿宋"/>
                <w:bCs/>
                <w:sz w:val="28"/>
                <w:szCs w:val="28"/>
                <w:highlight w:val="none"/>
                <w:lang w:eastAsia="zh-CN"/>
              </w:rPr>
              <w:t>中小</w:t>
            </w:r>
            <w:r>
              <w:rPr>
                <w:rFonts w:hint="eastAsia" w:ascii="仿宋" w:hAnsi="仿宋" w:eastAsia="仿宋" w:cs="仿宋"/>
                <w:bCs/>
                <w:sz w:val="28"/>
                <w:szCs w:val="28"/>
                <w:highlight w:val="none"/>
              </w:rPr>
              <w:t>型车辆的设备、技术服务一般，方案内容有遗漏，措施欠合理，可行性较差或低于其他档次投标人，得</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154" w:type="dxa"/>
            <w:gridSpan w:val="2"/>
            <w:tcBorders>
              <w:lef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评标价</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0分</w:t>
            </w:r>
          </w:p>
        </w:tc>
        <w:tc>
          <w:tcPr>
            <w:tcW w:w="5978" w:type="dxa"/>
            <w:noWrap w:val="0"/>
            <w:vAlign w:val="center"/>
          </w:tcPr>
          <w:p>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评标价得分计算公式示例：</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（1）如果投标人的评标价＞评标基准价，则评标价得分=F-（投标人评标价-评标基准价）/评标基准价×100×E1；</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（2）如果投标人的评标价≤评标基准价，则评标价得分=F+(投标人评标价-评标基准价)/评标基准价×100×E2。</w:t>
            </w:r>
          </w:p>
          <w:p>
            <w:pPr>
              <w:spacing w:line="400" w:lineRule="exact"/>
              <w:ind w:firstLine="324" w:firstLineChars="116"/>
              <w:rPr>
                <w:rFonts w:hint="eastAsia" w:ascii="仿宋" w:hAnsi="仿宋" w:eastAsia="仿宋" w:cs="仿宋"/>
                <w:bCs/>
                <w:sz w:val="28"/>
                <w:szCs w:val="28"/>
                <w:highlight w:val="none"/>
              </w:rPr>
            </w:pPr>
            <w:r>
              <w:rPr>
                <w:rFonts w:hint="eastAsia" w:ascii="仿宋" w:hAnsi="仿宋" w:eastAsia="仿宋" w:cs="仿宋"/>
                <w:sz w:val="28"/>
                <w:szCs w:val="28"/>
                <w:highlight w:val="none"/>
              </w:rPr>
              <w:t>其中，F=</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0；E1=0.</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；E2=0.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合计</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100分</w:t>
            </w:r>
          </w:p>
        </w:tc>
        <w:tc>
          <w:tcPr>
            <w:tcW w:w="5978" w:type="dxa"/>
            <w:noWrap w:val="0"/>
            <w:vAlign w:val="center"/>
          </w:tcPr>
          <w:p>
            <w:pPr>
              <w:spacing w:line="400" w:lineRule="exact"/>
              <w:jc w:val="center"/>
              <w:rPr>
                <w:rFonts w:hint="eastAsia" w:ascii="仿宋" w:hAnsi="仿宋" w:eastAsia="仿宋" w:cs="仿宋"/>
                <w:bCs/>
                <w:sz w:val="28"/>
                <w:szCs w:val="28"/>
                <w:highlight w:val="none"/>
              </w:rPr>
            </w:pPr>
          </w:p>
        </w:tc>
      </w:tr>
    </w:tbl>
    <w:p>
      <w:pPr>
        <w:widowControl/>
        <w:snapToGrid w:val="0"/>
        <w:spacing w:line="300" w:lineRule="auto"/>
        <w:jc w:val="left"/>
        <w:rPr>
          <w:rFonts w:hint="eastAsia" w:ascii="仿宋" w:hAnsi="仿宋" w:eastAsia="仿宋" w:cs="仿宋"/>
          <w:sz w:val="28"/>
          <w:szCs w:val="32"/>
          <w:highlight w:val="none"/>
        </w:rPr>
      </w:pPr>
      <w:r>
        <w:rPr>
          <w:rFonts w:hint="eastAsia" w:ascii="仿宋" w:hAnsi="仿宋" w:eastAsia="仿宋" w:cs="仿宋"/>
          <w:color w:val="000000"/>
          <w:kern w:val="0"/>
          <w:sz w:val="28"/>
          <w:szCs w:val="28"/>
          <w:highlight w:val="none"/>
          <w:lang w:bidi="ar"/>
        </w:rPr>
        <w:t>注：1、各评分因素得分应以评标委员会各成员的打分平均值确定，保留两位小数，第三位四舍五入。</w:t>
      </w:r>
    </w:p>
    <w:p>
      <w:pPr>
        <w:snapToGrid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8"/>
          <w:szCs w:val="28"/>
          <w:highlight w:val="none"/>
          <w:lang w:bidi="ar"/>
        </w:rPr>
        <w:t>2、</w:t>
      </w:r>
      <w:r>
        <w:rPr>
          <w:rFonts w:hint="eastAsia" w:ascii="仿宋" w:hAnsi="仿宋" w:eastAsia="仿宋" w:cs="仿宋"/>
          <w:kern w:val="0"/>
          <w:sz w:val="28"/>
          <w:szCs w:val="28"/>
          <w:highlight w:val="none"/>
        </w:rPr>
        <w:t>服务方案</w:t>
      </w:r>
      <w:r>
        <w:rPr>
          <w:rFonts w:hint="eastAsia" w:ascii="仿宋" w:hAnsi="仿宋" w:eastAsia="仿宋" w:cs="仿宋"/>
          <w:color w:val="000000"/>
          <w:kern w:val="0"/>
          <w:sz w:val="28"/>
          <w:szCs w:val="28"/>
          <w:highlight w:val="none"/>
          <w:lang w:bidi="ar"/>
        </w:rPr>
        <w:t>评分因素细分项存在缺项的，则该项计0分</w:t>
      </w:r>
      <w:r>
        <w:rPr>
          <w:rFonts w:hint="eastAsia" w:ascii="仿宋" w:hAnsi="仿宋" w:eastAsia="仿宋" w:cs="仿宋"/>
          <w:sz w:val="28"/>
          <w:szCs w:val="28"/>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6320C"/>
    <w:rsid w:val="2E46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3">
    <w:name w:val="Body Text"/>
    <w:basedOn w:val="1"/>
    <w:next w:val="4"/>
    <w:qFormat/>
    <w:uiPriority w:val="0"/>
    <w:rPr>
      <w:rFonts w:ascii="Times New Roman" w:hAnsi="Times New Roman" w:eastAsia="宋体"/>
      <w:kern w:val="0"/>
      <w:sz w:val="28"/>
      <w:szCs w:val="24"/>
    </w:rPr>
  </w:style>
  <w:style w:type="paragraph" w:styleId="4">
    <w:name w:val="Body Text 2"/>
    <w:basedOn w:val="1"/>
    <w:next w:val="1"/>
    <w:unhideWhenUsed/>
    <w:qFormat/>
    <w:uiPriority w:val="99"/>
    <w:pPr>
      <w:spacing w:after="120" w:line="480" w:lineRule="auto"/>
    </w:pPr>
  </w:style>
  <w:style w:type="paragraph" w:styleId="5">
    <w:name w:val="Body Text Indent"/>
    <w:basedOn w:val="1"/>
    <w:next w:val="6"/>
    <w:qFormat/>
    <w:uiPriority w:val="0"/>
    <w:pPr>
      <w:ind w:firstLine="480"/>
    </w:pPr>
    <w:rPr>
      <w:rFonts w:ascii="Times New Roman" w:hAnsi="Times New Roman" w:eastAsia="宋体"/>
      <w:kern w:val="0"/>
      <w:sz w:val="24"/>
      <w:szCs w:val="20"/>
    </w:rPr>
  </w:style>
  <w:style w:type="paragraph" w:styleId="6">
    <w:name w:val="envelope return"/>
    <w:basedOn w:val="1"/>
    <w:qFormat/>
    <w:uiPriority w:val="0"/>
    <w:pPr>
      <w:snapToGrid w:val="0"/>
    </w:pPr>
    <w:rPr>
      <w:rFonts w:ascii="Arial" w:hAnsi="Arial"/>
    </w:rPr>
  </w:style>
  <w:style w:type="paragraph" w:styleId="7">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8">
    <w:name w:val="Body Text First Indent 2"/>
    <w:basedOn w:val="5"/>
    <w:next w:val="7"/>
    <w:qFormat/>
    <w:uiPriority w:val="99"/>
    <w:pPr>
      <w:ind w:firstLine="420" w:firstLineChars="200"/>
    </w:pPr>
    <w:rPr>
      <w:color w:val="000000"/>
    </w:rPr>
  </w:style>
  <w:style w:type="character" w:customStyle="1" w:styleId="11">
    <w:name w:val="目录4 Char"/>
    <w:qFormat/>
    <w:uiPriority w:val="0"/>
    <w:rPr>
      <w:rFonts w:ascii="黑体" w:eastAsia="黑体"/>
      <w:kern w:val="2"/>
      <w:sz w:val="24"/>
      <w:szCs w:val="24"/>
      <w:lang w:val="en-US" w:eastAsia="zh-CN" w:bidi="ar-SA"/>
    </w:rPr>
  </w:style>
  <w:style w:type="character" w:customStyle="1" w:styleId="12">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2024-06-25T08:20:00Z</dcterms:created>
  <dc:creator>LIULIQIANG</dc:creator>
  <cp:lastModifiedBy>LIULIQIANG</cp:lastModifiedBy>
  <dcterms:modified xsi:type="dcterms:W3CDTF">2024-06-25T08:21:29Z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B9FC7B631B6C4E33A1806333C7D5B3B8</vt:lpwstr>
  </property>
</Properties>
</file>