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atLeast"/>
        <w:ind w:firstLine="420" w:firstLineChars="175"/>
        <w:rPr>
          <w:rFonts w:ascii="宋体" w:hAnsi="宋体" w:eastAsia="宋体" w:cs="Times New Roman"/>
          <w:sz w:val="24"/>
          <w:szCs w:val="24"/>
          <w14:ligatures w14:val="none"/>
        </w:rPr>
      </w:pPr>
      <w:bookmarkStart w:id="0" w:name="_GoBack"/>
      <w:r>
        <w:rPr>
          <w:rFonts w:hint="eastAsia" w:ascii="宋体" w:hAnsi="宋体" w:eastAsia="宋体" w:cs="Times New Roman"/>
          <w:sz w:val="24"/>
          <w:szCs w:val="24"/>
          <w14:ligatures w14:val="none"/>
        </w:rPr>
        <w:t>附件2：评标办法</w:t>
      </w:r>
    </w:p>
    <w:bookmarkEnd w:id="0"/>
    <w:p>
      <w:pPr>
        <w:rPr>
          <w:rFonts w:ascii="宋体" w:hAnsi="宋体" w:eastAsia="宋体" w:cs="Times New Roman"/>
          <w:bCs/>
          <w:kern w:val="0"/>
          <w:sz w:val="30"/>
          <w:szCs w:val="30"/>
          <w14:ligatures w14:val="none"/>
        </w:rPr>
      </w:pPr>
      <w:r>
        <w:rPr>
          <w:rFonts w:hint="eastAsia" w:ascii="宋体" w:hAnsi="宋体" w:eastAsia="宋体" w:cs="Times New Roman"/>
          <w14:ligatures w14:val="none"/>
        </w:rPr>
        <w:t>评标办法前附表</w:t>
      </w:r>
      <w:r>
        <w:rPr>
          <w:rFonts w:hint="eastAsia" w:ascii="宋体" w:hAnsi="宋体" w:eastAsia="宋体" w:cs="Times New Roman"/>
          <w:szCs w:val="21"/>
          <w14:ligatures w14:val="none"/>
        </w:rPr>
        <w:t xml:space="preserve"> </w:t>
      </w:r>
    </w:p>
    <w:tbl>
      <w:tblPr>
        <w:tblStyle w:val="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本次评标采用综合评估法，评标委员会对满足招标文件实质性要求的投标文件，按照本章第2.2款规定的评分标准进行打分，并按得分由高到低顺序推荐1-</w:t>
            </w:r>
            <w:r>
              <w:rPr>
                <w:rFonts w:ascii="宋体" w:hAnsi="宋体" w:eastAsia="宋体" w:cs="Times New Roman"/>
                <w:szCs w:val="21"/>
                <w14:ligatures w14:val="none"/>
              </w:rPr>
              <w:t>3</w:t>
            </w:r>
            <w:r>
              <w:rPr>
                <w:rFonts w:hint="eastAsia" w:ascii="宋体" w:hAnsi="宋体" w:eastAsia="宋体" w:cs="Times New Roman"/>
                <w:szCs w:val="21"/>
                <w14:ligatures w14:val="none"/>
              </w:rPr>
              <w:t>名中标候选人；综合评分相等时，评标委员会依次按照以下优先顺序推荐中标候选人：</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（1）评标价低的投标人优先；</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（2）技术得分较高的投标人优先；</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（3）满足资格审查条件(业绩最低要求)的</w:t>
            </w:r>
            <w:r>
              <w:rPr>
                <w:rFonts w:hint="eastAsia" w:ascii="宋体" w:hAnsi="宋体" w:eastAsia="宋体" w:cs="宋体"/>
                <w:bCs/>
                <w:szCs w:val="21"/>
                <w14:ligatures w14:val="none"/>
              </w:rPr>
              <w:t>业绩</w:t>
            </w:r>
            <w:r>
              <w:rPr>
                <w:rFonts w:hint="eastAsia" w:ascii="宋体" w:hAnsi="宋体" w:eastAsia="宋体" w:cs="Times New Roman"/>
                <w:szCs w:val="21"/>
                <w14:ligatures w14:val="none"/>
              </w:rPr>
              <w:t xml:space="preserve">累计金额高的优先。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eastAsia="宋体" w:cs="Times New Roman"/>
                <w:szCs w:val="21"/>
                <w14:ligatures w14:val="none"/>
              </w:rPr>
            </w:pPr>
            <w:r>
              <w:rPr>
                <w:rFonts w:hint="eastAsia" w:ascii="宋体" w:hAnsi="宋体" w:eastAsia="宋体" w:cs="Times New Roman"/>
                <w:szCs w:val="21"/>
                <w14:ligatures w14:val="none"/>
              </w:rPr>
              <w:t>2.1.1</w:t>
            </w:r>
          </w:p>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2.1.</w:t>
            </w:r>
            <w:r>
              <w:rPr>
                <w:rFonts w:ascii="宋体" w:hAnsi="宋体" w:eastAsia="宋体" w:cs="Times New Roman"/>
                <w:szCs w:val="21"/>
                <w14:ligatures w14:val="none"/>
              </w:rPr>
              <w:t>3</w:t>
            </w:r>
            <w:r>
              <w:rPr>
                <w:rFonts w:hint="eastAsia" w:ascii="宋体" w:hAnsi="宋体" w:eastAsia="宋体" w:cs="Times New Roman"/>
                <w:szCs w:val="21"/>
                <w14:ligatures w14:val="none"/>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hint="eastAsia" w:ascii="宋体" w:hAnsi="宋体" w:eastAsia="宋体" w:cs="Times New Roman"/>
                <w:b/>
                <w:szCs w:val="21"/>
                <w14:ligatures w14:val="none"/>
              </w:rPr>
            </w:pPr>
            <w:r>
              <w:rPr>
                <w:rFonts w:hint="eastAsia" w:ascii="宋体" w:hAnsi="宋体" w:eastAsia="宋体" w:cs="Times New Roman"/>
                <w:b/>
                <w:szCs w:val="21"/>
                <w14:ligatures w14:val="none"/>
              </w:rPr>
              <w:t>第一个信封（商务及技术文件）评审标准:</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（1）投标文件按照招标文件规定的格式、内容填写，字迹清晰可辨：</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a．投标函按招标文件规定填报了项目名称、补遗书编号（如有）、服务期限、质量要求及安全目标；</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b．投标文件组成齐全完整，内容均按规定填写。</w:t>
            </w:r>
          </w:p>
          <w:p>
            <w:pPr>
              <w:widowControl/>
              <w:spacing w:line="360" w:lineRule="exact"/>
              <w:ind w:firstLine="420" w:firstLineChars="200"/>
              <w:jc w:val="left"/>
              <w:rPr>
                <w:rFonts w:hint="eastAsia" w:ascii="宋体" w:hAnsi="宋体" w:eastAsia="宋体" w:cs="Times New Roman"/>
                <w:szCs w:val="21"/>
                <w14:ligatures w14:val="none"/>
              </w:rPr>
            </w:pPr>
            <w:r>
              <w:rPr>
                <w:rFonts w:hint="eastAsia" w:ascii="宋体" w:hAnsi="宋体" w:eastAsia="宋体" w:cs="Times New Roman"/>
                <w:szCs w:val="21"/>
                <w14:ligatures w14:val="none"/>
              </w:rPr>
              <w:t>（2）投标文件上法定代表人或其委托代理人的签字、投标人的单位章盖章齐全，符合招标文件规定。</w:t>
            </w:r>
          </w:p>
          <w:p>
            <w:pPr>
              <w:tabs>
                <w:tab w:val="left" w:pos="3060"/>
              </w:tabs>
              <w:spacing w:line="32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（3）投标人按照招标文件规定的金额、形式、时效和内容提供了投标保证金，并符合投标人须知前附表3.4.1项的相关规定。</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（6）投标人未以联合体形式投标。</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（7）同一投标人未提交两个以上不同的投标文件。</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）投标文件中未出现有关投标报价的内容。</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9</w:t>
            </w:r>
            <w:r>
              <w:rPr>
                <w:rFonts w:hint="eastAsia" w:ascii="宋体" w:hAnsi="宋体" w:eastAsia="宋体" w:cs="Times New Roman"/>
                <w:szCs w:val="21"/>
                <w14:ligatures w14:val="none"/>
              </w:rPr>
              <w:t>）投标文件载明的招标项目完成期限符合招标文件规定的时限。</w:t>
            </w:r>
          </w:p>
          <w:p>
            <w:pPr>
              <w:tabs>
                <w:tab w:val="left" w:pos="3060"/>
              </w:tabs>
              <w:spacing w:line="360" w:lineRule="exact"/>
              <w:ind w:firstLine="525" w:firstLineChars="25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）投标人未对本项目提出分包计划。</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1</w:t>
            </w:r>
            <w:r>
              <w:rPr>
                <w:rFonts w:hint="eastAsia" w:ascii="宋体" w:hAnsi="宋体" w:eastAsia="宋体" w:cs="Times New Roman"/>
                <w:szCs w:val="21"/>
                <w14:ligatures w14:val="none"/>
              </w:rPr>
              <w:t>）投标文件对招标文件的实质性要求和条件作出响应。</w:t>
            </w:r>
          </w:p>
          <w:p>
            <w:pPr>
              <w:tabs>
                <w:tab w:val="left" w:pos="3060"/>
              </w:tabs>
              <w:spacing w:line="360" w:lineRule="exact"/>
              <w:ind w:firstLine="525" w:firstLineChars="250"/>
              <w:rPr>
                <w:rFonts w:hint="eastAsia" w:ascii="宋体" w:hAnsi="宋体" w:eastAsia="宋体" w:cs="Times New Roman"/>
                <w:szCs w:val="21"/>
                <w14:ligatures w14:val="none"/>
              </w:rPr>
            </w:pPr>
            <w:r>
              <w:rPr>
                <w:rFonts w:hint="eastAsia" w:ascii="宋体" w:hAnsi="宋体" w:eastAsia="宋体" w:cs="Times New Roman"/>
                <w:szCs w:val="21"/>
                <w14:ligatures w14:val="none"/>
              </w:rPr>
              <w:t>（1</w:t>
            </w:r>
            <w:r>
              <w:rPr>
                <w:rFonts w:ascii="宋体" w:hAnsi="宋体" w:eastAsia="宋体" w:cs="Times New Roman"/>
                <w:szCs w:val="21"/>
                <w14:ligatures w14:val="none"/>
              </w:rPr>
              <w:t>2</w:t>
            </w:r>
            <w:r>
              <w:rPr>
                <w:rFonts w:hint="eastAsia" w:ascii="宋体" w:hAnsi="宋体" w:eastAsia="宋体" w:cs="Times New Roman"/>
                <w:szCs w:val="21"/>
                <w14:ligatures w14:val="none"/>
              </w:rPr>
              <w:t>）权利义务符合招标文件规定：</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a.投标人应接受招标文件规定的风险划分原则，未提出新的风险划分办法；</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b.投标人未增加发包人的责任范围，或减少投标人义务；</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c.投标人未提出不同的支付办法；</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d.投标人对合同纠纷、事故处理办法未提出异议；</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e.投标人在投标活动中无欺诈行为；</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f.投标人未对合同条款有重要保留。</w:t>
            </w:r>
          </w:p>
          <w:p>
            <w:pPr>
              <w:tabs>
                <w:tab w:val="left" w:pos="3060"/>
              </w:tabs>
              <w:spacing w:line="320" w:lineRule="exact"/>
              <w:rPr>
                <w:rFonts w:hint="eastAsia" w:ascii="宋体" w:hAnsi="宋体" w:eastAsia="宋体" w:cs="Times New Roman"/>
                <w:b/>
                <w:szCs w:val="21"/>
                <w14:ligatures w14:val="none"/>
              </w:rPr>
            </w:pPr>
            <w:r>
              <w:rPr>
                <w:rFonts w:hint="eastAsia" w:ascii="宋体" w:hAnsi="宋体" w:eastAsia="宋体" w:cs="Times New Roman"/>
                <w:b/>
                <w:szCs w:val="21"/>
                <w14:ligatures w14:val="none"/>
              </w:rPr>
              <w:t>第二个信封（报价文件）评审标准：</w:t>
            </w:r>
          </w:p>
          <w:p>
            <w:pPr>
              <w:tabs>
                <w:tab w:val="left" w:pos="3060"/>
              </w:tabs>
              <w:spacing w:line="360" w:lineRule="exact"/>
              <w:ind w:firstLine="420" w:firstLineChars="200"/>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（1）投标文件按照招标文件规定的格式、内容填写，字迹清晰可辨：</w:t>
            </w:r>
          </w:p>
          <w:p>
            <w:pPr>
              <w:tabs>
                <w:tab w:val="left" w:pos="3060"/>
              </w:tabs>
              <w:spacing w:line="360" w:lineRule="exact"/>
              <w:ind w:firstLine="420" w:firstLineChars="200"/>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a.投标函按招标文件规定填报了项目名称、补遗书编号（如有）、投标价（包括大写金额和小写金额）；</w:t>
            </w:r>
          </w:p>
          <w:p>
            <w:pPr>
              <w:tabs>
                <w:tab w:val="left" w:pos="3060"/>
              </w:tabs>
              <w:spacing w:line="360" w:lineRule="exact"/>
              <w:ind w:firstLine="420" w:firstLineChars="200"/>
              <w:rPr>
                <w:rFonts w:hint="eastAsia" w:ascii="宋体" w:hAnsi="宋体" w:eastAsia="宋体" w:cs="Times New Roman"/>
                <w:bCs/>
                <w:szCs w:val="21"/>
                <w14:ligatures w14:val="none"/>
              </w:rPr>
            </w:pPr>
            <w:r>
              <w:rPr>
                <w:rFonts w:hint="eastAsia" w:ascii="宋体" w:hAnsi="宋体" w:eastAsia="宋体" w:cs="Times New Roman"/>
                <w:bCs/>
                <w:szCs w:val="21"/>
                <w14:ligatures w14:val="none"/>
              </w:rPr>
              <w:t>b．已</w:t>
            </w:r>
            <w:r>
              <w:rPr>
                <w:rFonts w:hint="eastAsia" w:ascii="宋体" w:hAnsi="宋体" w:eastAsia="宋体" w:cs="Times New Roman"/>
                <w:szCs w:val="21"/>
                <w14:ligatures w14:val="none"/>
              </w:rPr>
              <w:t>标价</w:t>
            </w:r>
            <w:r>
              <w:rPr>
                <w:rFonts w:hint="eastAsia" w:ascii="宋体" w:hAnsi="宋体" w:eastAsia="宋体" w:cs="Times New Roman"/>
                <w:bCs/>
                <w:szCs w:val="21"/>
                <w14:ligatures w14:val="none"/>
              </w:rPr>
              <w:t>清单说明文字与招标文件规定一致，未进行实质性修改和删减；</w:t>
            </w:r>
          </w:p>
          <w:p>
            <w:pPr>
              <w:tabs>
                <w:tab w:val="left" w:pos="3060"/>
              </w:tabs>
              <w:spacing w:line="360" w:lineRule="exact"/>
              <w:ind w:firstLine="420" w:firstLineChars="200"/>
              <w:rPr>
                <w:rFonts w:ascii="宋体" w:hAnsi="宋体" w:eastAsia="宋体" w:cs="Times New Roman"/>
                <w:bCs/>
                <w:szCs w:val="21"/>
                <w14:ligatures w14:val="none"/>
              </w:rPr>
            </w:pPr>
            <w:r>
              <w:rPr>
                <w:rFonts w:hint="eastAsia" w:ascii="宋体" w:hAnsi="宋体" w:eastAsia="宋体" w:cs="Times New Roman"/>
                <w:bCs/>
                <w:szCs w:val="21"/>
                <w14:ligatures w14:val="none"/>
              </w:rPr>
              <w:t>c．投标文件组成齐全完整，内容均按规定填写。</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bCs/>
                <w:szCs w:val="21"/>
                <w14:ligatures w14:val="none"/>
              </w:rPr>
              <w:t>（2）投标</w:t>
            </w:r>
            <w:r>
              <w:rPr>
                <w:rFonts w:hint="eastAsia" w:ascii="宋体" w:hAnsi="宋体" w:eastAsia="宋体" w:cs="Times New Roman"/>
                <w:szCs w:val="21"/>
                <w14:ligatures w14:val="none"/>
              </w:rPr>
              <w:t>文件</w:t>
            </w:r>
            <w:r>
              <w:rPr>
                <w:rFonts w:hint="eastAsia" w:ascii="宋体" w:hAnsi="宋体" w:eastAsia="宋体" w:cs="Times New Roman"/>
                <w:bCs/>
                <w:szCs w:val="21"/>
                <w14:ligatures w14:val="none"/>
              </w:rPr>
              <w:t>上法定代表人或其授权代理人的签字、投标人的单位章盖章齐全，符合招标文件规定。</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（3）投标报价未超过招标文件设定的最高投标限价。</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（4）投标报价的大写金额能够确定具体数值。</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（5）同一投标人未提交两个以上不同的投标报价。</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（6）</w:t>
            </w:r>
            <w:r>
              <w:rPr>
                <w:rFonts w:hint="eastAsia" w:ascii="宋体" w:hAnsi="宋体" w:eastAsia="宋体" w:cs="Times New Roman"/>
                <w:bCs/>
                <w:szCs w:val="21"/>
                <w14:ligatures w14:val="none"/>
              </w:rPr>
              <w:t>已</w:t>
            </w:r>
            <w:r>
              <w:rPr>
                <w:rFonts w:hint="eastAsia" w:ascii="宋体" w:hAnsi="宋体" w:eastAsia="宋体" w:cs="Times New Roman"/>
                <w:szCs w:val="21"/>
                <w14:ligatures w14:val="none"/>
              </w:rPr>
              <w:t>标价清单中的投标报价和投标函大写金额报价一致。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（1）投标人具备有效的营业执照、劳务派遣经营许可证、人力资源服务许可证和基本账户开户许可证或基本存款账户信息。</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（2）投标人的资质等级符合招标文件规定。</w:t>
            </w:r>
          </w:p>
          <w:p>
            <w:pPr>
              <w:tabs>
                <w:tab w:val="left" w:pos="3060"/>
              </w:tabs>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（3）投标人的业绩符合招标文件规定。</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4</w:t>
            </w:r>
            <w:r>
              <w:rPr>
                <w:rFonts w:hint="eastAsia" w:ascii="宋体" w:hAnsi="宋体" w:eastAsia="宋体" w:cs="Times New Roman"/>
                <w:szCs w:val="21"/>
                <w14:ligatures w14:val="none"/>
              </w:rPr>
              <w:t>）投标人的信誉符合招标文件规定。</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5</w:t>
            </w:r>
            <w:r>
              <w:rPr>
                <w:rFonts w:hint="eastAsia" w:ascii="宋体" w:hAnsi="宋体" w:eastAsia="宋体" w:cs="Times New Roman"/>
                <w:szCs w:val="21"/>
                <w14:ligatures w14:val="none"/>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 xml:space="preserve">业 </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 xml:space="preserve">绩：       </w:t>
            </w:r>
            <w:r>
              <w:rPr>
                <w:rFonts w:ascii="宋体" w:hAnsi="宋体" w:eastAsia="宋体" w:cs="Times New Roman"/>
                <w:szCs w:val="21"/>
                <w14:ligatures w14:val="none"/>
              </w:rPr>
              <w:t>20</w:t>
            </w:r>
            <w:r>
              <w:rPr>
                <w:rFonts w:hint="eastAsia" w:ascii="宋体" w:hAnsi="宋体" w:eastAsia="宋体" w:cs="Times New Roman"/>
                <w:szCs w:val="21"/>
                <w14:ligatures w14:val="none"/>
              </w:rPr>
              <w:t>分</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服务方案：       </w:t>
            </w:r>
            <w:r>
              <w:rPr>
                <w:rFonts w:ascii="宋体" w:hAnsi="宋体" w:eastAsia="宋体" w:cs="Times New Roman"/>
                <w:szCs w:val="21"/>
                <w14:ligatures w14:val="none"/>
              </w:rPr>
              <w:t>50</w:t>
            </w:r>
            <w:r>
              <w:rPr>
                <w:rFonts w:hint="eastAsia" w:ascii="宋体" w:hAnsi="宋体" w:eastAsia="宋体" w:cs="Times New Roman"/>
                <w:szCs w:val="21"/>
                <w14:ligatures w14:val="none"/>
              </w:rPr>
              <w:t>分</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 标 价：       </w:t>
            </w:r>
            <w:r>
              <w:rPr>
                <w:rFonts w:ascii="宋体" w:hAnsi="宋体" w:eastAsia="宋体" w:cs="Times New Roman"/>
                <w:szCs w:val="21"/>
                <w14:ligatures w14:val="none"/>
              </w:rPr>
              <w:t>3</w:t>
            </w:r>
            <w:r>
              <w:rPr>
                <w:rFonts w:hint="eastAsia" w:ascii="宋体" w:hAnsi="宋体" w:eastAsia="宋体" w:cs="Times New Roman"/>
                <w:szCs w:val="21"/>
                <w14:ligatures w14: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评标基准价的计算： </w:t>
            </w:r>
          </w:p>
          <w:p>
            <w:pPr>
              <w:tabs>
                <w:tab w:val="left" w:pos="3060"/>
              </w:tabs>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(1)评标价的确定：</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评标价=投标函文字报价</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(2)评标价平均值的计算：</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(3)评标基准价的确定：</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评标价平均值直接作为评标基准价。</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评标基准价保留小数点后两位，小数点后第三位四舍五入。</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14:ligatures w14: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3</w:t>
            </w:r>
            <w:r>
              <w:rPr>
                <w:rFonts w:ascii="宋体" w:hAnsi="宋体" w:eastAsia="宋体" w:cs="Times New Roman"/>
                <w:szCs w:val="21"/>
                <w14:ligatures w14:val="none"/>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szCs w:val="21"/>
                <w14:ligatures w14:val="none"/>
              </w:rPr>
            </w:pPr>
            <w:r>
              <w:rPr>
                <w:rFonts w:hint="eastAsia" w:ascii="宋体" w:hAnsi="宋体" w:eastAsia="宋体" w:cs="Times New Roman"/>
                <w:szCs w:val="21"/>
                <w14:ligatures w14:val="none"/>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eastAsia="宋体" w:cs="Times New Roman"/>
                <w14:ligatures w14:val="none"/>
              </w:rPr>
            </w:pPr>
            <w:r>
              <w:rPr>
                <w:rFonts w:hint="eastAsia" w:ascii="宋体" w:hAnsi="宋体" w:eastAsia="宋体" w:cs="Times New Roman"/>
                <w14:ligatures w14:val="none"/>
              </w:rPr>
              <w:t>在评标过程中，评标委员会应对以下信息进行查询：</w:t>
            </w:r>
          </w:p>
          <w:p>
            <w:pPr>
              <w:ind w:firstLine="420" w:firstLineChars="200"/>
              <w:rPr>
                <w:rFonts w:ascii="宋体" w:hAnsi="宋体" w:eastAsia="宋体" w:cs="Times New Roman"/>
                <w:szCs w:val="21"/>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1</w:t>
            </w:r>
            <w:r>
              <w:rPr>
                <w:rFonts w:hint="eastAsia" w:ascii="宋体" w:hAnsi="宋体" w:eastAsia="宋体" w:cs="Times New Roman"/>
                <w:szCs w:val="21"/>
                <w14:ligatures w14:val="none"/>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hint="eastAsia" w:ascii="宋体" w:hAnsi="宋体" w:eastAsia="宋体" w:cs="Times New Roman"/>
                <w:szCs w:val="21"/>
                <w14:ligatures w14:val="none"/>
              </w:rPr>
            </w:pPr>
            <w:r>
              <w:rPr>
                <w:rFonts w:hint="eastAsia" w:ascii="宋体" w:hAnsi="宋体" w:eastAsia="宋体" w:cs="Times New Roman"/>
                <w:szCs w:val="21"/>
                <w14:ligatures w14:val="none"/>
              </w:rPr>
              <w:t>（2）评标委员会评标时在“信用中国网站（http://www.creditchina.gov.cn/)”进行查询，若投标人存在被列入“失信被执行人、异常经营名录、税收违法黑名单、政府采购严重违法失信行为记录名单”情形的（均不含分公司），评标委员会应否决其投标。</w:t>
            </w:r>
          </w:p>
          <w:p>
            <w:pPr>
              <w:spacing w:line="360" w:lineRule="exact"/>
              <w:ind w:firstLine="420" w:firstLineChars="200"/>
              <w:rPr>
                <w:rFonts w:hint="eastAsia" w:ascii="Calibri" w:hAnsi="Calibri" w:eastAsia="宋体" w:cs="Times New Roman"/>
                <w:szCs w:val="24"/>
                <w14:ligatures w14:val="none"/>
              </w:rPr>
            </w:pPr>
            <w:r>
              <w:rPr>
                <w:rFonts w:hint="eastAsia" w:ascii="宋体" w:hAnsi="宋体" w:eastAsia="宋体" w:cs="Times New Roman"/>
                <w:szCs w:val="21"/>
                <w14:ligatures w14:val="none"/>
              </w:rPr>
              <w:t>如投标人未提供相关网页截图或所附截图与复核结果不一致，评标委员会应否决其投标。</w:t>
            </w:r>
          </w:p>
          <w:p>
            <w:pPr>
              <w:spacing w:line="360" w:lineRule="exact"/>
              <w:ind w:firstLine="420" w:firstLineChars="200"/>
              <w:rPr>
                <w:rFonts w:ascii="Times New Roman" w:hAnsi="Times New Roman" w:eastAsia="宋体" w:cs="Times New Roman"/>
                <w14:ligatures w14:val="none"/>
              </w:rPr>
            </w:pPr>
            <w:r>
              <w:rPr>
                <w:rFonts w:hint="eastAsia" w:ascii="宋体" w:hAnsi="宋体" w:eastAsia="宋体" w:cs="Times New Roman"/>
                <w:szCs w:val="21"/>
                <w14:ligatures w14:val="none"/>
              </w:rPr>
              <w:t>（</w:t>
            </w:r>
            <w:r>
              <w:rPr>
                <w:rFonts w:ascii="宋体" w:hAnsi="宋体" w:eastAsia="宋体" w:cs="Times New Roman"/>
                <w:szCs w:val="21"/>
                <w14:ligatures w14:val="none"/>
              </w:rPr>
              <w:t>3</w:t>
            </w:r>
            <w:r>
              <w:rPr>
                <w:rFonts w:hint="eastAsia" w:ascii="宋体" w:hAnsi="宋体" w:eastAsia="宋体" w:cs="Times New Roman"/>
                <w:szCs w:val="21"/>
                <w14:ligatures w14: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需要补充的其他内容：无</w:t>
            </w:r>
          </w:p>
        </w:tc>
      </w:tr>
    </w:tbl>
    <w:p>
      <w:pPr>
        <w:jc w:val="left"/>
        <w:rPr>
          <w:rFonts w:ascii="宋体" w:hAnsi="宋体" w:eastAsia="宋体" w:cs="Times New Roman"/>
          <w:szCs w:val="21"/>
          <w14:ligatures w14:val="none"/>
        </w:rPr>
      </w:pPr>
      <w:r>
        <w:rPr>
          <w:rFonts w:ascii="宋体" w:hAnsi="宋体" w:eastAsia="宋体" w:cs="Times New Roman"/>
          <w:szCs w:val="21"/>
          <w14:ligatures w14:val="none"/>
        </w:rPr>
        <w:br w:type="page"/>
      </w:r>
      <w:r>
        <w:rPr>
          <w:rFonts w:hint="eastAsia" w:ascii="宋体" w:hAnsi="宋体" w:eastAsia="宋体" w:cs="Times New Roman"/>
          <w:szCs w:val="21"/>
          <w14:ligatures w14:val="none"/>
        </w:rPr>
        <w:t>具体评分标准如下：</w:t>
      </w:r>
    </w:p>
    <w:tbl>
      <w:tblPr>
        <w:tblStyle w:val="2"/>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序号</w:t>
            </w:r>
          </w:p>
        </w:tc>
        <w:tc>
          <w:tcPr>
            <w:tcW w:w="2154" w:type="dxa"/>
            <w:gridSpan w:val="2"/>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评审项目</w:t>
            </w:r>
          </w:p>
        </w:tc>
        <w:tc>
          <w:tcPr>
            <w:tcW w:w="843"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标准分</w:t>
            </w:r>
          </w:p>
        </w:tc>
        <w:tc>
          <w:tcPr>
            <w:tcW w:w="5978" w:type="dxa"/>
            <w:vAlign w:val="center"/>
          </w:tcPr>
          <w:p>
            <w:pPr>
              <w:jc w:val="center"/>
              <w:rPr>
                <w:rFonts w:ascii="宋体" w:hAnsi="宋体" w:eastAsia="宋体" w:cs="Times New Roman"/>
                <w:szCs w:val="21"/>
                <w14:ligatures w14:val="none"/>
              </w:rPr>
            </w:pPr>
            <w:r>
              <w:rPr>
                <w:rFonts w:hint="eastAsia" w:ascii="宋体" w:hAnsi="宋体" w:eastAsia="宋体" w:cs="Times New Roman"/>
                <w:szCs w:val="21"/>
                <w14:ligatures w14:val="none"/>
              </w:rPr>
              <w:t>评</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分</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标</w:t>
            </w:r>
            <w:r>
              <w:rPr>
                <w:rFonts w:ascii="宋体" w:hAnsi="宋体" w:eastAsia="宋体" w:cs="Times New Roman"/>
                <w:szCs w:val="21"/>
                <w14:ligatures w14:val="none"/>
              </w:rPr>
              <w:t xml:space="preserve">     </w:t>
            </w:r>
            <w:r>
              <w:rPr>
                <w:rFonts w:hint="eastAsia" w:ascii="宋体" w:hAnsi="宋体" w:eastAsia="宋体" w:cs="Times New Roman"/>
                <w:szCs w:val="21"/>
                <w14:ligatures w14:val="none"/>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（1）</w:t>
            </w:r>
          </w:p>
        </w:tc>
        <w:tc>
          <w:tcPr>
            <w:tcW w:w="2154" w:type="dxa"/>
            <w:gridSpan w:val="2"/>
            <w:vAlign w:val="center"/>
          </w:tcPr>
          <w:p>
            <w:pPr>
              <w:snapToGrid w:val="0"/>
              <w:jc w:val="center"/>
              <w:rPr>
                <w:rFonts w:ascii="宋体" w:hAnsi="宋体" w:eastAsia="宋体" w:cs="宋体"/>
                <w:bCs/>
                <w:szCs w:val="21"/>
                <w14:ligatures w14:val="none"/>
              </w:rPr>
            </w:pPr>
            <w:r>
              <w:rPr>
                <w:rFonts w:hint="eastAsia" w:ascii="宋体" w:hAnsi="宋体" w:eastAsia="宋体" w:cs="宋体"/>
                <w:bCs/>
                <w:szCs w:val="21"/>
                <w14:ligatures w14:val="none"/>
              </w:rPr>
              <w:t>业绩</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宋体"/>
                <w:bCs/>
                <w:szCs w:val="21"/>
                <w14:ligatures w14:val="none"/>
              </w:rPr>
              <w:t>20</w:t>
            </w:r>
            <w:r>
              <w:rPr>
                <w:rFonts w:hint="eastAsia" w:ascii="宋体" w:hAnsi="宋体" w:eastAsia="宋体" w:cs="宋体"/>
                <w:bCs/>
                <w:szCs w:val="21"/>
                <w14:ligatures w14:val="none"/>
              </w:rPr>
              <w:t>分</w:t>
            </w:r>
          </w:p>
        </w:tc>
        <w:tc>
          <w:tcPr>
            <w:tcW w:w="5978" w:type="dxa"/>
            <w:vAlign w:val="center"/>
          </w:tcPr>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满足资格审查条件(业绩最低要求)得</w:t>
            </w:r>
            <w:r>
              <w:rPr>
                <w:rFonts w:ascii="宋体" w:hAnsi="宋体" w:eastAsia="宋体" w:cs="Times New Roman"/>
                <w:szCs w:val="21"/>
                <w14:ligatures w14:val="none"/>
              </w:rPr>
              <w:t>12</w:t>
            </w:r>
            <w:r>
              <w:rPr>
                <w:rFonts w:hint="eastAsia" w:ascii="宋体" w:hAnsi="宋体" w:eastAsia="宋体" w:cs="Times New Roman"/>
                <w:szCs w:val="21"/>
                <w14:ligatures w14:val="none"/>
              </w:rPr>
              <w:t>分；</w:t>
            </w:r>
          </w:p>
          <w:p>
            <w:pPr>
              <w:snapToGrid w:val="0"/>
              <w:rPr>
                <w:rFonts w:ascii="宋体" w:hAnsi="宋体" w:eastAsia="宋体" w:cs="宋体"/>
                <w:bCs/>
                <w:szCs w:val="21"/>
                <w14:ligatures w14:val="none"/>
              </w:rPr>
            </w:pPr>
            <w:r>
              <w:rPr>
                <w:rFonts w:hint="eastAsia" w:ascii="宋体" w:hAnsi="宋体" w:eastAsia="宋体" w:cs="Times New Roman"/>
                <w:szCs w:val="21"/>
                <w14:ligatures w14:val="none"/>
              </w:rPr>
              <w:t>近3年内（20</w:t>
            </w:r>
            <w:r>
              <w:rPr>
                <w:rFonts w:ascii="宋体" w:hAnsi="宋体" w:eastAsia="宋体" w:cs="Times New Roman"/>
                <w:szCs w:val="21"/>
                <w14:ligatures w14:val="none"/>
              </w:rPr>
              <w:t>20</w:t>
            </w:r>
            <w:r>
              <w:rPr>
                <w:rFonts w:hint="eastAsia" w:ascii="宋体" w:hAnsi="宋体" w:eastAsia="宋体" w:cs="Times New Roman"/>
                <w:szCs w:val="21"/>
                <w14:ligatures w14:val="none"/>
              </w:rPr>
              <w:t>年1</w:t>
            </w:r>
            <w:r>
              <w:rPr>
                <w:rFonts w:ascii="宋体" w:hAnsi="宋体" w:eastAsia="宋体" w:cs="Times New Roman"/>
                <w:szCs w:val="21"/>
                <w14:ligatures w14:val="none"/>
              </w:rPr>
              <w:t>1</w:t>
            </w:r>
            <w:r>
              <w:rPr>
                <w:rFonts w:hint="eastAsia" w:ascii="宋体" w:hAnsi="宋体" w:eastAsia="宋体" w:cs="Times New Roman"/>
                <w:szCs w:val="21"/>
                <w14:ligatures w14:val="none"/>
              </w:rPr>
              <w:t>月1日至今，以合同签订时间为准）每增加一项劳务外包服务业绩加4分，最高加8分。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293" w:hRule="exact"/>
          <w:jc w:val="center"/>
        </w:trPr>
        <w:tc>
          <w:tcPr>
            <w:tcW w:w="735" w:type="dxa"/>
            <w:vMerge w:val="restart"/>
            <w:tcBorders>
              <w:right w:val="single" w:color="auto" w:sz="2" w:space="0"/>
            </w:tcBorders>
            <w:vAlign w:val="center"/>
          </w:tcPr>
          <w:p>
            <w:pPr>
              <w:snapToGrid w:val="0"/>
              <w:jc w:val="center"/>
              <w:rPr>
                <w:rFonts w:ascii="宋体" w:hAnsi="宋体" w:eastAsia="宋体" w:cs="宋体"/>
                <w:bCs/>
                <w:w w:val="90"/>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2</w:t>
            </w:r>
            <w:r>
              <w:rPr>
                <w:rFonts w:hint="eastAsia" w:ascii="宋体" w:hAnsi="宋体" w:eastAsia="宋体" w:cs="宋体"/>
                <w:bCs/>
                <w:w w:val="90"/>
                <w:szCs w:val="21"/>
                <w14:ligatures w14:val="none"/>
              </w:rPr>
              <w:t>）</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eastAsia="宋体" w:cs="宋体"/>
                <w:bCs/>
                <w:szCs w:val="21"/>
                <w14:ligatures w14:val="none"/>
              </w:rPr>
            </w:pPr>
            <w:r>
              <w:rPr>
                <w:rFonts w:hint="eastAsia" w:ascii="宋体" w:hAnsi="宋体" w:eastAsia="宋体" w:cs="宋体"/>
                <w:bCs/>
                <w:szCs w:val="21"/>
                <w14:ligatures w14:val="none"/>
              </w:rPr>
              <w:t>服务方案</w:t>
            </w:r>
          </w:p>
          <w:p>
            <w:pPr>
              <w:snapToGrid w:val="0"/>
              <w:spacing w:before="156" w:beforeLines="50" w:after="156" w:afterLines="50"/>
              <w:jc w:val="center"/>
              <w:rPr>
                <w:rFonts w:hint="eastAsia" w:ascii="宋体" w:hAnsi="宋体" w:eastAsia="宋体" w:cs="宋体"/>
                <w:bCs/>
                <w:szCs w:val="21"/>
                <w14:ligatures w14:val="none"/>
              </w:rPr>
            </w:pPr>
            <w:r>
              <w:rPr>
                <w:rFonts w:hint="eastAsia" w:ascii="宋体" w:hAnsi="宋体" w:eastAsia="宋体" w:cs="宋体"/>
                <w:bCs/>
                <w:szCs w:val="21"/>
                <w14:ligatures w14:val="none"/>
              </w:rPr>
              <w:t>（</w:t>
            </w:r>
            <w:r>
              <w:rPr>
                <w:rFonts w:ascii="宋体" w:hAnsi="宋体" w:eastAsia="宋体" w:cs="宋体"/>
                <w:bCs/>
                <w:szCs w:val="21"/>
                <w14:ligatures w14:val="none"/>
              </w:rPr>
              <w:t>50</w:t>
            </w:r>
            <w:r>
              <w:rPr>
                <w:rFonts w:hint="eastAsia" w:ascii="宋体" w:hAnsi="宋体" w:eastAsia="宋体" w:cs="宋体"/>
                <w:bCs/>
                <w:szCs w:val="21"/>
                <w14:ligatures w14:val="none"/>
              </w:rPr>
              <w:t>分）</w:t>
            </w:r>
          </w:p>
        </w:tc>
        <w:tc>
          <w:tcPr>
            <w:tcW w:w="1124" w:type="dxa"/>
            <w:tcBorders>
              <w:left w:val="single" w:color="auto" w:sz="2" w:space="0"/>
            </w:tcBorders>
            <w:vAlign w:val="center"/>
          </w:tcPr>
          <w:p>
            <w:pPr>
              <w:snapToGrid w:val="0"/>
              <w:spacing w:before="156" w:beforeLines="50" w:after="156" w:afterLines="50"/>
              <w:jc w:val="center"/>
              <w:rPr>
                <w:rFonts w:hint="eastAsia" w:ascii="宋体" w:hAnsi="宋体" w:eastAsia="宋体" w:cs="宋体"/>
                <w:bCs/>
                <w:szCs w:val="21"/>
                <w14:ligatures w14:val="none"/>
              </w:rPr>
            </w:pPr>
            <w:r>
              <w:rPr>
                <w:rFonts w:hint="eastAsia" w:ascii="宋体" w:hAnsi="宋体" w:eastAsia="宋体" w:cs="仿宋"/>
                <w:bCs/>
                <w:szCs w:val="21"/>
                <w14:ligatures w14:val="none"/>
              </w:rPr>
              <w:t>组织机构及项目团队</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仿宋"/>
                <w:bCs/>
                <w:szCs w:val="21"/>
                <w14:ligatures w14:val="none"/>
              </w:rPr>
              <w:t>1</w:t>
            </w:r>
            <w:r>
              <w:rPr>
                <w:rFonts w:hint="eastAsia" w:ascii="宋体" w:hAnsi="宋体" w:eastAsia="宋体" w:cs="仿宋"/>
                <w:bCs/>
                <w:szCs w:val="21"/>
                <w14:ligatures w14:val="none"/>
              </w:rPr>
              <w:t>0分</w:t>
            </w:r>
          </w:p>
        </w:tc>
        <w:tc>
          <w:tcPr>
            <w:tcW w:w="5978" w:type="dxa"/>
            <w:vAlign w:val="center"/>
          </w:tcPr>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根据投标人项目实施团队的组织机构和人员配备优劣进行比较打分：</w:t>
            </w:r>
          </w:p>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第一档，组织管理机构完善、合理，团队人员构成专业性强、经验丰富符合项目特点的，得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 xml:space="preserve">分； </w:t>
            </w:r>
          </w:p>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第二档，组织管理机构健全、合理，团队人员构成和专业性较好，相关经验较丰富，符合项目需求的，得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 xml:space="preserve">分； </w:t>
            </w:r>
          </w:p>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第三档，组织管理机构和人员构成基本合理，专业性和相关经验有欠缺或低于其他档次投标人，得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568"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实施计划及服务方案</w:t>
            </w:r>
          </w:p>
        </w:tc>
        <w:tc>
          <w:tcPr>
            <w:tcW w:w="843" w:type="dxa"/>
            <w:vAlign w:val="center"/>
          </w:tcPr>
          <w:p>
            <w:pPr>
              <w:snapToGrid w:val="0"/>
              <w:jc w:val="center"/>
              <w:rPr>
                <w:rFonts w:ascii="宋体" w:hAnsi="宋体" w:eastAsia="宋体" w:cs="宋体"/>
                <w:bCs/>
                <w:szCs w:val="21"/>
                <w14:ligatures w14:val="none"/>
              </w:rPr>
            </w:pPr>
            <w:r>
              <w:rPr>
                <w:rFonts w:ascii="宋体" w:hAnsi="宋体" w:eastAsia="宋体" w:cs="仿宋"/>
                <w:bCs/>
                <w:szCs w:val="21"/>
                <w14:ligatures w14:val="none"/>
              </w:rPr>
              <w:t>1</w:t>
            </w:r>
            <w:r>
              <w:rPr>
                <w:rFonts w:hint="eastAsia" w:ascii="宋体" w:hAnsi="宋体" w:eastAsia="宋体" w:cs="仿宋"/>
                <w:bCs/>
                <w:szCs w:val="21"/>
                <w14:ligatures w14:val="none"/>
              </w:rPr>
              <w:t>0分</w:t>
            </w:r>
          </w:p>
        </w:tc>
        <w:tc>
          <w:tcPr>
            <w:tcW w:w="5978" w:type="dxa"/>
            <w:vAlign w:val="center"/>
          </w:tcPr>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第一档，实施计划科学合理，总体方案完整、内容齐全，有针对性，得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第二档，实施计划较科学合理，总体方案较完整，得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rPr>
                <w:rFonts w:hint="eastAsia" w:ascii="宋体" w:hAnsi="宋体" w:eastAsia="宋体" w:cs="Times New Roman"/>
                <w:szCs w:val="21"/>
                <w14:ligatures w14:val="none"/>
              </w:rPr>
            </w:pPr>
            <w:r>
              <w:rPr>
                <w:rFonts w:hint="eastAsia" w:ascii="宋体" w:hAnsi="宋体" w:eastAsia="宋体" w:cs="Times New Roman"/>
                <w:szCs w:val="21"/>
                <w14:ligatures w14:val="none"/>
              </w:rPr>
              <w:t>第三档，实施计划基本合理，总体方案简单，得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279"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hint="eastAsia" w:ascii="宋体" w:hAnsi="宋体" w:eastAsia="宋体" w:cs="仿宋"/>
                <w:bCs/>
                <w:szCs w:val="21"/>
                <w14:ligatures w14:val="none"/>
              </w:rPr>
            </w:pPr>
            <w:r>
              <w:rPr>
                <w:rFonts w:hint="eastAsia" w:ascii="宋体" w:hAnsi="宋体" w:eastAsia="宋体" w:cs="仿宋"/>
                <w:bCs/>
                <w:szCs w:val="21"/>
                <w14:ligatures w14:val="none"/>
              </w:rPr>
              <w:t>日常管理标准及措施</w:t>
            </w:r>
          </w:p>
        </w:tc>
        <w:tc>
          <w:tcPr>
            <w:tcW w:w="843" w:type="dxa"/>
            <w:vAlign w:val="center"/>
          </w:tcPr>
          <w:p>
            <w:pPr>
              <w:snapToGrid w:val="0"/>
              <w:jc w:val="center"/>
              <w:rPr>
                <w:rFonts w:hint="eastAsia" w:ascii="宋体" w:hAnsi="宋体" w:eastAsia="宋体" w:cs="仿宋"/>
                <w:bCs/>
                <w:szCs w:val="21"/>
                <w14:ligatures w14:val="none"/>
              </w:rPr>
            </w:pPr>
            <w:r>
              <w:rPr>
                <w:rFonts w:hint="eastAsia" w:ascii="宋体" w:hAnsi="宋体" w:eastAsia="宋体" w:cs="仿宋"/>
                <w:bCs/>
                <w:szCs w:val="21"/>
                <w14:ligatures w14:val="none"/>
              </w:rPr>
              <w:t>10分</w:t>
            </w:r>
          </w:p>
        </w:tc>
        <w:tc>
          <w:tcPr>
            <w:tcW w:w="5978" w:type="dxa"/>
            <w:vAlign w:val="center"/>
          </w:tcPr>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第一档，科学合理，内容详细，得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第二档，较科学合理，内容较详细，得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第三档，基本合理，内容简单，得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262"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hint="eastAsia" w:ascii="宋体" w:hAnsi="宋体" w:eastAsia="宋体" w:cs="仿宋"/>
                <w:bCs/>
                <w:szCs w:val="21"/>
                <w14:ligatures w14:val="none"/>
              </w:rPr>
            </w:pPr>
            <w:r>
              <w:rPr>
                <w:rFonts w:hint="eastAsia" w:ascii="宋体" w:hAnsi="宋体" w:eastAsia="宋体" w:cs="仿宋"/>
                <w:bCs/>
                <w:szCs w:val="21"/>
                <w14:ligatures w14:val="none"/>
              </w:rPr>
              <w:t>内部规章制度及人员考核培训方案</w:t>
            </w:r>
          </w:p>
        </w:tc>
        <w:tc>
          <w:tcPr>
            <w:tcW w:w="843" w:type="dxa"/>
            <w:vAlign w:val="center"/>
          </w:tcPr>
          <w:p>
            <w:pPr>
              <w:snapToGrid w:val="0"/>
              <w:jc w:val="center"/>
              <w:rPr>
                <w:rFonts w:hint="eastAsia" w:ascii="宋体" w:hAnsi="宋体" w:eastAsia="宋体" w:cs="仿宋"/>
                <w:bCs/>
                <w:szCs w:val="21"/>
                <w14:ligatures w14:val="none"/>
              </w:rPr>
            </w:pPr>
            <w:r>
              <w:rPr>
                <w:rFonts w:hint="eastAsia" w:ascii="宋体" w:hAnsi="宋体" w:eastAsia="宋体" w:cs="仿宋"/>
                <w:bCs/>
                <w:szCs w:val="21"/>
                <w14:ligatures w14:val="none"/>
              </w:rPr>
              <w:t>10分</w:t>
            </w:r>
          </w:p>
        </w:tc>
        <w:tc>
          <w:tcPr>
            <w:tcW w:w="5978" w:type="dxa"/>
            <w:vAlign w:val="center"/>
          </w:tcPr>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第一档，科学合理、完善可行、有针对性，得</w:t>
            </w:r>
            <w:r>
              <w:rPr>
                <w:rFonts w:ascii="宋体" w:hAnsi="宋体" w:eastAsia="宋体" w:cs="Times New Roman"/>
                <w:szCs w:val="21"/>
                <w14:ligatures w14:val="none"/>
              </w:rPr>
              <w:t>8</w:t>
            </w:r>
            <w:r>
              <w:rPr>
                <w:rFonts w:hint="eastAsia" w:ascii="宋体" w:hAnsi="宋体" w:eastAsia="宋体" w:cs="Times New Roman"/>
                <w:szCs w:val="21"/>
                <w14:ligatures w14:val="none"/>
              </w:rPr>
              <w:t>-</w:t>
            </w:r>
            <w:r>
              <w:rPr>
                <w:rFonts w:ascii="宋体" w:hAnsi="宋体" w:eastAsia="宋体" w:cs="Times New Roman"/>
                <w:szCs w:val="21"/>
                <w14:ligatures w14:val="none"/>
              </w:rPr>
              <w:t>10</w:t>
            </w:r>
            <w:r>
              <w:rPr>
                <w:rFonts w:hint="eastAsia" w:ascii="宋体" w:hAnsi="宋体" w:eastAsia="宋体" w:cs="Times New Roman"/>
                <w:szCs w:val="21"/>
                <w14:ligatures w14:val="none"/>
              </w:rPr>
              <w:t>分；</w:t>
            </w:r>
          </w:p>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第二档，较科学、较完善可行、较有针对性，得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第三档，保证措施一般，得</w:t>
            </w:r>
            <w:r>
              <w:rPr>
                <w:rFonts w:ascii="宋体" w:hAnsi="宋体" w:eastAsia="宋体" w:cs="Times New Roman"/>
                <w:szCs w:val="21"/>
                <w14:ligatures w14:val="none"/>
              </w:rPr>
              <w:t>6</w:t>
            </w:r>
            <w:r>
              <w:rPr>
                <w:rFonts w:hint="eastAsia" w:ascii="宋体" w:hAnsi="宋体" w:eastAsia="宋体" w:cs="Times New Roman"/>
                <w:szCs w:val="21"/>
                <w14:ligatures w14:val="none"/>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2136" w:hRule="exact"/>
          <w:jc w:val="center"/>
        </w:trPr>
        <w:tc>
          <w:tcPr>
            <w:tcW w:w="735" w:type="dxa"/>
            <w:vMerge w:val="continue"/>
            <w:tcBorders>
              <w:right w:val="single" w:color="auto" w:sz="2" w:space="0"/>
            </w:tcBorders>
            <w:vAlign w:val="center"/>
          </w:tcPr>
          <w:p>
            <w:pPr>
              <w:snapToGrid w:val="0"/>
              <w:jc w:val="center"/>
              <w:rPr>
                <w:rFonts w:ascii="宋体" w:hAnsi="宋体" w:eastAsia="宋体" w:cs="宋体"/>
                <w:bCs/>
                <w:w w:val="90"/>
                <w:szCs w:val="21"/>
                <w14:ligatures w14:val="none"/>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eastAsia="宋体" w:cs="宋体"/>
                <w:bCs/>
                <w:szCs w:val="21"/>
                <w14:ligatures w14:val="none"/>
              </w:rPr>
            </w:pPr>
          </w:p>
        </w:tc>
        <w:tc>
          <w:tcPr>
            <w:tcW w:w="1124" w:type="dxa"/>
            <w:tcBorders>
              <w:left w:val="single" w:color="auto" w:sz="2" w:space="0"/>
            </w:tcBorders>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服务承诺</w:t>
            </w:r>
          </w:p>
        </w:tc>
        <w:tc>
          <w:tcPr>
            <w:tcW w:w="843" w:type="dxa"/>
            <w:vAlign w:val="center"/>
          </w:tcPr>
          <w:p>
            <w:pPr>
              <w:snapToGrid w:val="0"/>
              <w:jc w:val="center"/>
              <w:rPr>
                <w:rFonts w:ascii="宋体" w:hAnsi="宋体" w:eastAsia="宋体" w:cs="宋体"/>
                <w:bCs/>
                <w:szCs w:val="21"/>
                <w14:ligatures w14:val="none"/>
              </w:rPr>
            </w:pPr>
            <w:r>
              <w:rPr>
                <w:rFonts w:hint="eastAsia" w:ascii="宋体" w:hAnsi="宋体" w:eastAsia="宋体" w:cs="仿宋"/>
                <w:bCs/>
                <w:szCs w:val="21"/>
                <w14:ligatures w14:val="none"/>
              </w:rPr>
              <w:t>10分</w:t>
            </w:r>
          </w:p>
        </w:tc>
        <w:tc>
          <w:tcPr>
            <w:tcW w:w="5978" w:type="dxa"/>
            <w:vAlign w:val="center"/>
          </w:tcPr>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对服务质量、运营安全、工作时限、人员保证、等方面服务进行承诺</w:t>
            </w:r>
          </w:p>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第一档，服务承诺系统全面、科学合理，得</w:t>
            </w:r>
            <w:r>
              <w:rPr>
                <w:rFonts w:ascii="宋体" w:hAnsi="宋体" w:eastAsia="宋体" w:cs="Times New Roman"/>
                <w:szCs w:val="21"/>
                <w14:ligatures w14:val="none"/>
              </w:rPr>
              <w:t>8</w:t>
            </w:r>
            <w:r>
              <w:rPr>
                <w:rFonts w:hint="eastAsia" w:ascii="宋体" w:hAnsi="宋体" w:eastAsia="宋体" w:cs="Times New Roman"/>
                <w:szCs w:val="21"/>
                <w14:ligatures w14:val="none"/>
              </w:rPr>
              <w:t>-10分；</w:t>
            </w:r>
          </w:p>
          <w:p>
            <w:pPr>
              <w:snapToGrid w:val="0"/>
              <w:spacing w:line="400" w:lineRule="exact"/>
              <w:rPr>
                <w:rFonts w:hint="eastAsia" w:ascii="宋体" w:hAnsi="宋体" w:eastAsia="宋体" w:cs="Times New Roman"/>
                <w:szCs w:val="21"/>
                <w14:ligatures w14:val="none"/>
              </w:rPr>
            </w:pPr>
            <w:r>
              <w:rPr>
                <w:rFonts w:hint="eastAsia" w:ascii="宋体" w:hAnsi="宋体" w:eastAsia="宋体" w:cs="Times New Roman"/>
                <w:szCs w:val="21"/>
                <w14:ligatures w14:val="none"/>
              </w:rPr>
              <w:t>第二档，服务承诺较完整、较科学，得</w:t>
            </w:r>
            <w:r>
              <w:rPr>
                <w:rFonts w:ascii="宋体" w:hAnsi="宋体" w:eastAsia="宋体" w:cs="Times New Roman"/>
                <w:szCs w:val="21"/>
                <w14:ligatures w14:val="none"/>
              </w:rPr>
              <w:t>6</w:t>
            </w:r>
            <w:r>
              <w:rPr>
                <w:rFonts w:hint="eastAsia" w:ascii="宋体" w:hAnsi="宋体" w:eastAsia="宋体" w:cs="Times New Roman"/>
                <w:szCs w:val="21"/>
                <w14:ligatures w14:val="none"/>
              </w:rPr>
              <w:t>-</w:t>
            </w:r>
            <w:r>
              <w:rPr>
                <w:rFonts w:ascii="宋体" w:hAnsi="宋体" w:eastAsia="宋体" w:cs="Times New Roman"/>
                <w:szCs w:val="21"/>
                <w14:ligatures w14:val="none"/>
              </w:rPr>
              <w:t>8</w:t>
            </w:r>
            <w:r>
              <w:rPr>
                <w:rFonts w:hint="eastAsia" w:ascii="宋体" w:hAnsi="宋体" w:eastAsia="宋体" w:cs="Times New Roman"/>
                <w:szCs w:val="21"/>
                <w14:ligatures w14:val="none"/>
              </w:rPr>
              <w:t>分；</w:t>
            </w:r>
          </w:p>
          <w:p>
            <w:pPr>
              <w:snapToGrid w:val="0"/>
              <w:rPr>
                <w:rFonts w:ascii="宋体" w:hAnsi="宋体" w:eastAsia="宋体" w:cs="Times New Roman"/>
                <w:szCs w:val="21"/>
                <w14:ligatures w14:val="none"/>
              </w:rPr>
            </w:pPr>
            <w:r>
              <w:rPr>
                <w:rFonts w:hint="eastAsia" w:ascii="宋体" w:hAnsi="宋体" w:eastAsia="宋体" w:cs="Times New Roman"/>
                <w:szCs w:val="21"/>
                <w14:ligatures w14:val="none"/>
              </w:rPr>
              <w:t>第三档，服务承诺基本完整或基本合理，得6分。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hint="eastAsia" w:ascii="宋体" w:hAnsi="宋体" w:eastAsia="宋体" w:cs="宋体"/>
                <w:bCs/>
                <w:szCs w:val="21"/>
                <w14:ligatures w14:val="none"/>
              </w:rPr>
            </w:pPr>
            <w:r>
              <w:rPr>
                <w:rFonts w:ascii="宋体" w:hAnsi="宋体" w:eastAsia="宋体" w:cs="宋体"/>
                <w:bCs/>
                <w:w w:val="90"/>
                <w:szCs w:val="21"/>
                <w14:ligatures w14:val="none"/>
              </w:rPr>
              <w:t>2.2.4</w:t>
            </w:r>
            <w:r>
              <w:rPr>
                <w:rFonts w:hint="eastAsia" w:ascii="宋体" w:hAnsi="宋体" w:eastAsia="宋体" w:cs="宋体"/>
                <w:bCs/>
                <w:w w:val="90"/>
                <w:szCs w:val="21"/>
                <w14:ligatures w14:val="none"/>
              </w:rPr>
              <w:t>（</w:t>
            </w:r>
            <w:r>
              <w:rPr>
                <w:rFonts w:ascii="宋体" w:hAnsi="宋体" w:eastAsia="宋体" w:cs="宋体"/>
                <w:bCs/>
                <w:w w:val="90"/>
                <w:szCs w:val="21"/>
                <w14:ligatures w14:val="none"/>
              </w:rPr>
              <w:t>3</w:t>
            </w:r>
            <w:r>
              <w:rPr>
                <w:rFonts w:hint="eastAsia" w:ascii="宋体" w:hAnsi="宋体" w:eastAsia="宋体" w:cs="宋体"/>
                <w:bCs/>
                <w:w w:val="90"/>
                <w:szCs w:val="21"/>
                <w14:ligatures w14:val="none"/>
              </w:rPr>
              <w:t>）</w:t>
            </w:r>
          </w:p>
        </w:tc>
        <w:tc>
          <w:tcPr>
            <w:tcW w:w="2154" w:type="dxa"/>
            <w:gridSpan w:val="2"/>
            <w:tcBorders>
              <w:left w:val="single" w:color="auto" w:sz="2" w:space="0"/>
            </w:tcBorders>
            <w:vAlign w:val="center"/>
          </w:tcPr>
          <w:p>
            <w:pPr>
              <w:jc w:val="center"/>
              <w:rPr>
                <w:rFonts w:hint="eastAsia" w:ascii="宋体" w:hAnsi="宋体" w:eastAsia="宋体" w:cs="宋体"/>
                <w:bCs/>
                <w:szCs w:val="21"/>
                <w14:ligatures w14:val="none"/>
              </w:rPr>
            </w:pPr>
            <w:r>
              <w:rPr>
                <w:rFonts w:hint="eastAsia" w:ascii="宋体" w:hAnsi="宋体" w:eastAsia="宋体" w:cs="宋体"/>
                <w:bCs/>
                <w:szCs w:val="21"/>
                <w14:ligatures w14:val="none"/>
              </w:rPr>
              <w:t>评标价</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30</w:t>
            </w:r>
            <w:r>
              <w:rPr>
                <w:rFonts w:hint="eastAsia" w:ascii="宋体" w:hAnsi="宋体" w:eastAsia="宋体" w:cs="宋体"/>
                <w:bCs/>
                <w:szCs w:val="21"/>
                <w14:ligatures w14:val="none"/>
              </w:rPr>
              <w:t>分</w:t>
            </w:r>
          </w:p>
        </w:tc>
        <w:tc>
          <w:tcPr>
            <w:tcW w:w="5978" w:type="dxa"/>
            <w:vAlign w:val="center"/>
          </w:tcPr>
          <w:p>
            <w:pPr>
              <w:rPr>
                <w:rFonts w:hint="eastAsia" w:ascii="宋体" w:hAnsi="宋体" w:eastAsia="宋体" w:cs="Times New Roman"/>
                <w:szCs w:val="21"/>
                <w14:ligatures w14:val="none"/>
              </w:rPr>
            </w:pPr>
            <w:r>
              <w:rPr>
                <w:rFonts w:hint="eastAsia" w:ascii="宋体" w:hAnsi="宋体" w:eastAsia="宋体" w:cs="Times New Roman"/>
                <w:szCs w:val="21"/>
                <w14:ligatures w14:val="none"/>
              </w:rPr>
              <w:t>评标价得分计算公式示例：</w:t>
            </w:r>
          </w:p>
          <w:p>
            <w:pPr>
              <w:ind w:firstLine="243" w:firstLineChars="116"/>
              <w:rPr>
                <w:rFonts w:hint="eastAsia" w:ascii="宋体" w:hAnsi="宋体" w:eastAsia="宋体" w:cs="Times New Roman"/>
                <w:szCs w:val="21"/>
                <w14:ligatures w14:val="none"/>
              </w:rPr>
            </w:pPr>
            <w:r>
              <w:rPr>
                <w:rFonts w:hint="eastAsia" w:ascii="宋体" w:hAnsi="宋体" w:eastAsia="宋体" w:cs="Times New Roman"/>
                <w:szCs w:val="21"/>
                <w14:ligatures w14:val="none"/>
              </w:rPr>
              <w:t>（1）如果投标人的评标价＞评标基准价，则评标价得分=F-（投标人评标价-评标基准价）/评标基准价×100×E1；</w:t>
            </w:r>
          </w:p>
          <w:p>
            <w:pPr>
              <w:ind w:firstLine="243" w:firstLineChars="116"/>
              <w:rPr>
                <w:rFonts w:hint="eastAsia" w:ascii="宋体" w:hAnsi="宋体" w:eastAsia="宋体" w:cs="Times New Roman"/>
                <w:szCs w:val="21"/>
                <w14:ligatures w14:val="none"/>
              </w:rPr>
            </w:pPr>
            <w:r>
              <w:rPr>
                <w:rFonts w:hint="eastAsia" w:ascii="宋体" w:hAnsi="宋体" w:eastAsia="宋体" w:cs="Times New Roman"/>
                <w:szCs w:val="21"/>
                <w14:ligatures w14:val="none"/>
              </w:rPr>
              <w:t>（2）如果投标人的评标价≤评标基准价，则评标价得分=F+(投标人评标价-评标基准价)/评标基准价×100×E2。</w:t>
            </w:r>
          </w:p>
          <w:p>
            <w:pPr>
              <w:ind w:firstLine="243" w:firstLineChars="116"/>
              <w:rPr>
                <w:rFonts w:ascii="宋体" w:hAnsi="宋体" w:eastAsia="宋体" w:cs="Times New Roman"/>
                <w:szCs w:val="21"/>
                <w14:ligatures w14:val="none"/>
              </w:rPr>
            </w:pPr>
            <w:r>
              <w:rPr>
                <w:rFonts w:hint="eastAsia" w:ascii="宋体" w:hAnsi="宋体" w:eastAsia="宋体" w:cs="Times New Roman"/>
                <w:szCs w:val="21"/>
                <w14:ligatures w14:val="none"/>
              </w:rPr>
              <w:t>其中，F=</w:t>
            </w:r>
            <w:r>
              <w:rPr>
                <w:rFonts w:ascii="宋体" w:hAnsi="宋体" w:eastAsia="宋体" w:cs="Times New Roman"/>
                <w:szCs w:val="21"/>
                <w14:ligatures w14:val="none"/>
              </w:rPr>
              <w:t>3</w:t>
            </w:r>
            <w:r>
              <w:rPr>
                <w:rFonts w:hint="eastAsia" w:ascii="宋体" w:hAnsi="宋体" w:eastAsia="宋体" w:cs="Times New Roman"/>
                <w:szCs w:val="21"/>
                <w14:ligatures w14:val="none"/>
              </w:rPr>
              <w:t>0；E1=0.</w:t>
            </w:r>
            <w:r>
              <w:rPr>
                <w:rFonts w:ascii="宋体" w:hAnsi="宋体" w:eastAsia="宋体" w:cs="Times New Roman"/>
                <w:szCs w:val="21"/>
                <w14:ligatures w14:val="none"/>
              </w:rPr>
              <w:t>2</w:t>
            </w:r>
            <w:r>
              <w:rPr>
                <w:rFonts w:hint="eastAsia" w:ascii="宋体" w:hAnsi="宋体" w:eastAsia="宋体" w:cs="Times New Roman"/>
                <w:szCs w:val="21"/>
                <w14:ligatures w14:val="none"/>
              </w:rPr>
              <w:t>；E2=0.</w:t>
            </w:r>
            <w:r>
              <w:rPr>
                <w:rFonts w:ascii="宋体" w:hAnsi="宋体" w:eastAsia="宋体" w:cs="Times New Roman"/>
                <w:szCs w:val="21"/>
                <w14:ligatures w14:val="none"/>
              </w:rPr>
              <w:t>1</w:t>
            </w:r>
            <w:r>
              <w:rPr>
                <w:rFonts w:hint="eastAsia" w:ascii="宋体" w:hAnsi="宋体" w:eastAsia="宋体" w:cs="Times New Roman"/>
                <w:szCs w:val="21"/>
                <w14:ligatures w14:val="none"/>
              </w:rPr>
              <w:t>。</w:t>
            </w:r>
          </w:p>
          <w:p>
            <w:pPr>
              <w:ind w:firstLine="243" w:firstLineChars="116"/>
              <w:rPr>
                <w:rFonts w:hint="eastAsia" w:ascii="Times New Roman" w:hAnsi="Times New Roman" w:eastAsia="宋体" w:cs="Times New Roman"/>
                <w14:ligatures w14:val="none"/>
              </w:rPr>
            </w:pPr>
            <w:r>
              <w:rPr>
                <w:rFonts w:hint="eastAsia" w:ascii="宋体" w:hAnsi="宋体" w:eastAsia="宋体" w:cs="Times New Roman"/>
                <w:szCs w:val="21"/>
                <w14:ligatures w14:val="none"/>
              </w:rPr>
              <w:t>评标价最低得分为0分，评标价得分保留两位小数，第三位四舍五入。</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eastAsia="宋体" w:cs="宋体"/>
                <w:bCs/>
                <w:szCs w:val="21"/>
                <w14:ligatures w14:val="none"/>
              </w:rPr>
            </w:pPr>
            <w:r>
              <w:rPr>
                <w:rFonts w:hint="eastAsia" w:ascii="宋体" w:hAnsi="宋体" w:eastAsia="宋体" w:cs="宋体"/>
                <w:bCs/>
                <w:szCs w:val="21"/>
                <w14:ligatures w14:val="none"/>
              </w:rPr>
              <w:t>合计</w:t>
            </w:r>
          </w:p>
        </w:tc>
        <w:tc>
          <w:tcPr>
            <w:tcW w:w="843" w:type="dxa"/>
            <w:vAlign w:val="center"/>
          </w:tcPr>
          <w:p>
            <w:pPr>
              <w:jc w:val="center"/>
              <w:rPr>
                <w:rFonts w:ascii="宋体" w:hAnsi="宋体" w:eastAsia="宋体" w:cs="宋体"/>
                <w:bCs/>
                <w:szCs w:val="21"/>
                <w14:ligatures w14:val="none"/>
              </w:rPr>
            </w:pPr>
            <w:r>
              <w:rPr>
                <w:rFonts w:ascii="宋体" w:hAnsi="宋体" w:eastAsia="宋体" w:cs="宋体"/>
                <w:bCs/>
                <w:szCs w:val="21"/>
                <w14:ligatures w14:val="none"/>
              </w:rPr>
              <w:t>100</w:t>
            </w:r>
            <w:r>
              <w:rPr>
                <w:rFonts w:hint="eastAsia" w:ascii="宋体" w:hAnsi="宋体" w:eastAsia="宋体" w:cs="宋体"/>
                <w:bCs/>
                <w:szCs w:val="21"/>
                <w14:ligatures w14:val="none"/>
              </w:rPr>
              <w:t>分</w:t>
            </w:r>
          </w:p>
        </w:tc>
        <w:tc>
          <w:tcPr>
            <w:tcW w:w="5978" w:type="dxa"/>
            <w:vAlign w:val="center"/>
          </w:tcPr>
          <w:p>
            <w:pPr>
              <w:jc w:val="center"/>
              <w:rPr>
                <w:rFonts w:ascii="宋体" w:hAnsi="宋体" w:eastAsia="宋体" w:cs="宋体"/>
                <w:bCs/>
                <w:szCs w:val="21"/>
                <w14:ligatures w14:val="none"/>
              </w:rPr>
            </w:pPr>
          </w:p>
        </w:tc>
      </w:tr>
    </w:tbl>
    <w:p>
      <w:pPr>
        <w:spacing w:line="312" w:lineRule="auto"/>
        <w:rPr>
          <w:rFonts w:hint="eastAsia" w:ascii="宋体" w:hAnsi="宋体" w:eastAsia="宋体" w:cs="Times New Roman"/>
          <w:szCs w:val="21"/>
          <w14:ligatures w14:val="none"/>
        </w:rPr>
      </w:pPr>
      <w:r>
        <w:rPr>
          <w:rFonts w:hint="eastAsia" w:ascii="宋体" w:hAnsi="宋体" w:eastAsia="宋体" w:cs="Times New Roman"/>
          <w:szCs w:val="21"/>
          <w14:ligatures w14:val="none"/>
        </w:rPr>
        <w:t>注：1、各分项得分为各评委打分算术平均值，评委打分平均值保留两位小数，第三位四舍五入。</w:t>
      </w:r>
    </w:p>
    <w:p>
      <w:pPr>
        <w:spacing w:line="312" w:lineRule="auto"/>
        <w:ind w:firstLine="420" w:firstLineChars="200"/>
        <w:rPr>
          <w:rFonts w:ascii="宋体" w:hAnsi="宋体" w:eastAsia="宋体" w:cs="Times New Roman"/>
          <w:sz w:val="20"/>
          <w:szCs w:val="20"/>
          <w14:ligatures w14:val="none"/>
        </w:rPr>
      </w:pPr>
      <w:r>
        <w:rPr>
          <w:rFonts w:hint="eastAsia" w:ascii="宋体" w:hAnsi="宋体" w:eastAsia="宋体" w:cs="Times New Roman"/>
          <w:szCs w:val="21"/>
          <w14:ligatures w14:val="none"/>
        </w:rPr>
        <w:t>2、服务方案缺项则该项得0分。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CE7BDF"/>
    <w:rsid w:val="00560D10"/>
    <w:rsid w:val="005C447B"/>
    <w:rsid w:val="007A1A49"/>
    <w:rsid w:val="00C133F5"/>
    <w:rsid w:val="00CE7BDF"/>
    <w:rsid w:val="00E05F25"/>
    <w:rsid w:val="0A064559"/>
    <w:rsid w:val="3323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2429</Words>
  <Characters>2842</Characters>
  <Lines>473</Lines>
  <Paragraphs>527</Paragraphs>
  <TotalTime>4</TotalTime>
  <ScaleCrop>false</ScaleCrop>
  <LinksUpToDate>false</LinksUpToDate>
  <CharactersWithSpaces>4744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2023-11-13T09:13:00Z</dcterms:created>
  <dc:creator>p p</dc:creator>
  <cp:lastModifiedBy>AOWEN</cp:lastModifiedBy>
  <dcterms:modified xsi:type="dcterms:W3CDTF">2023-11-21T02:37:34Z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AEB29D1BF3B04BE8AC1976C5A6D0CFA9_12</vt:lpwstr>
  </property>
</Properties>
</file>