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rPr>
          <w:rFonts w:ascii="宋体" w:hAnsi="宋体" w:eastAsia="宋体" w:cs="Times New Roman"/>
          <w:b/>
          <w:sz w:val="28"/>
          <w:szCs w:val="28"/>
          <w14:ligatures w14:val="none"/>
        </w:rPr>
      </w:pPr>
      <w:bookmarkStart w:id="0" w:name="_GoBack"/>
      <w:bookmarkEnd w:id="0"/>
      <w:r>
        <w:rPr>
          <w:rFonts w:hint="eastAsia" w:ascii="宋体" w:hAnsi="宋体" w:eastAsia="宋体" w:cs="Times New Roman"/>
          <w:b/>
          <w:sz w:val="24"/>
          <w:szCs w:val="24"/>
          <w14:ligatures w14:val="none"/>
        </w:rPr>
        <w:t>附件</w:t>
      </w:r>
      <w:r>
        <w:rPr>
          <w:rFonts w:ascii="宋体" w:hAnsi="宋体" w:eastAsia="宋体" w:cs="Times New Roman"/>
          <w:b/>
          <w:sz w:val="24"/>
          <w:szCs w:val="24"/>
          <w14:ligatures w14:val="none"/>
        </w:rPr>
        <w:t>1</w:t>
      </w:r>
      <w:r>
        <w:rPr>
          <w:rFonts w:hint="eastAsia" w:ascii="宋体" w:hAnsi="宋体" w:eastAsia="宋体" w:cs="Times New Roman"/>
          <w:b/>
          <w:sz w:val="24"/>
          <w:szCs w:val="24"/>
          <w14:ligatures w14:val="none"/>
        </w:rPr>
        <w:t>：</w:t>
      </w:r>
      <w:r>
        <w:rPr>
          <w:rFonts w:hint="eastAsia" w:ascii="宋体" w:hAnsi="宋体" w:eastAsia="宋体" w:cs="Times New Roman"/>
          <w:b/>
          <w:sz w:val="24"/>
          <w14:ligatures w14:val="none"/>
        </w:rPr>
        <w:t>资格审查条件</w:t>
      </w:r>
    </w:p>
    <w:p>
      <w:pPr>
        <w:keepNext/>
        <w:keepLines/>
        <w:spacing w:before="260" w:after="260" w:line="300" w:lineRule="exact"/>
        <w:jc w:val="center"/>
        <w:outlineLvl w:val="2"/>
        <w:rPr>
          <w:rFonts w:ascii="宋体" w:hAnsi="宋体" w:eastAsia="宋体" w:cs="Times New Roman"/>
          <w:b/>
          <w:kern w:val="0"/>
          <w:sz w:val="24"/>
          <w:szCs w:val="24"/>
          <w14:ligatures w14:val="none"/>
        </w:rPr>
      </w:pPr>
      <w:r>
        <w:rPr>
          <w:rFonts w:hint="eastAsia" w:ascii="宋体" w:hAnsi="宋体" w:eastAsia="宋体" w:cs="Times New Roman"/>
          <w:b/>
          <w:kern w:val="0"/>
          <w:sz w:val="24"/>
          <w:szCs w:val="24"/>
          <w14:ligatures w14:val="none"/>
        </w:rPr>
        <w:t>附录1 资格审查条件（资质最低要求）</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具有有效企业营业执照；具有中国银行保险监督管理委员会颁发的《保险许可证》，投标人为分支机构的，需持有其具备《保险许可证》的公司开具的唯一授权书，总公司及其分支机构不得同时参加，且总公司的不同分支机构不得同时参加投标</w:t>
            </w:r>
          </w:p>
        </w:tc>
      </w:tr>
    </w:tbl>
    <w:p>
      <w:pPr>
        <w:jc w:val="center"/>
        <w:rPr>
          <w:rFonts w:ascii="宋体" w:hAnsi="宋体" w:eastAsia="宋体" w:cs="Times New Roman"/>
          <w:b/>
          <w:sz w:val="28"/>
          <w14:ligatures w14:val="none"/>
        </w:rPr>
      </w:pPr>
    </w:p>
    <w:p>
      <w:pPr>
        <w:keepNext/>
        <w:keepLines/>
        <w:spacing w:before="260" w:after="260" w:line="300" w:lineRule="exact"/>
        <w:jc w:val="center"/>
        <w:outlineLvl w:val="2"/>
        <w:rPr>
          <w:rFonts w:ascii="宋体" w:hAnsi="宋体" w:eastAsia="宋体" w:cs="Times New Roman"/>
          <w:b/>
          <w:kern w:val="0"/>
          <w:sz w:val="24"/>
          <w:szCs w:val="24"/>
          <w14:ligatures w14:val="none"/>
        </w:rPr>
      </w:pPr>
      <w:r>
        <w:rPr>
          <w:rFonts w:hint="eastAsia" w:ascii="宋体" w:hAnsi="宋体" w:eastAsia="宋体" w:cs="Times New Roman"/>
          <w:b/>
          <w:kern w:val="0"/>
          <w:sz w:val="24"/>
          <w:szCs w:val="24"/>
          <w14:ligatures w14:val="none"/>
        </w:rPr>
        <w:t>附录</w:t>
      </w:r>
      <w:r>
        <w:rPr>
          <w:rFonts w:ascii="宋体" w:hAnsi="宋体" w:eastAsia="宋体" w:cs="Times New Roman"/>
          <w:b/>
          <w:kern w:val="0"/>
          <w:sz w:val="24"/>
          <w:szCs w:val="24"/>
          <w14:ligatures w14:val="none"/>
        </w:rPr>
        <w:t xml:space="preserve">2 </w:t>
      </w:r>
      <w:r>
        <w:rPr>
          <w:rFonts w:hint="eastAsia" w:ascii="宋体" w:hAnsi="宋体" w:eastAsia="宋体" w:cs="Times New Roman"/>
          <w:b/>
          <w:kern w:val="0"/>
          <w:sz w:val="24"/>
          <w:szCs w:val="24"/>
          <w14:ligatures w14:val="none"/>
        </w:rPr>
        <w:t>资格审查条件</w:t>
      </w:r>
      <w:r>
        <w:rPr>
          <w:rFonts w:ascii="宋体" w:hAnsi="宋体" w:eastAsia="宋体" w:cs="Times New Roman"/>
          <w:b/>
          <w:kern w:val="0"/>
          <w:sz w:val="24"/>
          <w:szCs w:val="24"/>
          <w14:ligatures w14:val="none"/>
        </w:rPr>
        <w:t>(</w:t>
      </w:r>
      <w:r>
        <w:rPr>
          <w:rFonts w:hint="eastAsia" w:ascii="宋体" w:hAnsi="宋体" w:eastAsia="宋体" w:cs="Times New Roman"/>
          <w:b/>
          <w:kern w:val="0"/>
          <w:sz w:val="24"/>
          <w:szCs w:val="24"/>
          <w14:ligatures w14:val="none"/>
        </w:rPr>
        <w:t>业绩最低要求</w:t>
      </w:r>
      <w:r>
        <w:rPr>
          <w:rFonts w:ascii="宋体" w:hAnsi="宋体" w:eastAsia="宋体" w:cs="Times New Roman"/>
          <w:b/>
          <w:kern w:val="0"/>
          <w:sz w:val="24"/>
          <w:szCs w:val="24"/>
          <w14:ligatures w14:val="none"/>
        </w:rPr>
        <w:t>)</w:t>
      </w:r>
    </w:p>
    <w:tbl>
      <w:tblPr>
        <w:tblStyle w:val="2"/>
        <w:tblW w:w="8904"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9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14:ligatures w14:val="none"/>
              </w:rPr>
            </w:pPr>
            <w:r>
              <w:rPr>
                <w:rFonts w:hint="eastAsia" w:ascii="宋体" w:hAnsi="宋体" w:eastAsia="宋体" w:cs="Times New Roman"/>
                <w14:ligatures w14: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ascii="Times New Roman" w:hAnsi="Times New Roman" w:eastAsia="宋体" w:cs="Times New Roman"/>
                <w14:ligatures w14:val="none"/>
              </w:rPr>
            </w:pPr>
            <w:r>
              <w:rPr>
                <w:rFonts w:hint="eastAsia" w:ascii="宋体" w:hAnsi="宋体" w:eastAsia="宋体" w:cs="Times New Roman"/>
                <w:szCs w:val="21"/>
                <w14:ligatures w14:val="none"/>
              </w:rPr>
              <w:t>近三年自2020年1</w:t>
            </w:r>
            <w:r>
              <w:rPr>
                <w:rFonts w:ascii="宋体" w:hAnsi="宋体" w:eastAsia="宋体" w:cs="Times New Roman"/>
                <w:szCs w:val="21"/>
                <w14:ligatures w14:val="none"/>
              </w:rPr>
              <w:t>1</w:t>
            </w:r>
            <w:r>
              <w:rPr>
                <w:rFonts w:hint="eastAsia" w:ascii="宋体" w:hAnsi="宋体" w:eastAsia="宋体" w:cs="Times New Roman"/>
                <w:szCs w:val="21"/>
                <w14:ligatures w14:val="none"/>
              </w:rPr>
              <w:t>月至今（以合同签订时间为准），至少承担过一项车辆保险（非个人且包含机动车交通事故责任强制保险、车辆损失险、第三者责任险、人员险）服务业绩。</w:t>
            </w:r>
          </w:p>
        </w:tc>
      </w:tr>
    </w:tbl>
    <w:p>
      <w:pPr>
        <w:jc w:val="center"/>
        <w:rPr>
          <w:rFonts w:ascii="宋体" w:hAnsi="宋体" w:eastAsia="宋体" w:cs="Times New Roman"/>
          <w:b/>
          <w:sz w:val="24"/>
          <w14:ligatures w14:val="none"/>
        </w:rPr>
      </w:pPr>
    </w:p>
    <w:p>
      <w:pPr>
        <w:jc w:val="center"/>
        <w:rPr>
          <w:rFonts w:ascii="宋体" w:hAnsi="宋体" w:eastAsia="宋体" w:cs="Times New Roman"/>
          <w:b/>
          <w:sz w:val="24"/>
          <w14:ligatures w14:val="none"/>
        </w:rPr>
      </w:pPr>
    </w:p>
    <w:p>
      <w:pPr>
        <w:keepNext/>
        <w:keepLines/>
        <w:spacing w:before="120" w:after="260" w:line="300" w:lineRule="exact"/>
        <w:jc w:val="center"/>
        <w:outlineLvl w:val="2"/>
        <w:rPr>
          <w:rFonts w:ascii="宋体" w:hAnsi="宋体" w:eastAsia="宋体" w:cs="Times New Roman"/>
          <w:b/>
          <w:kern w:val="0"/>
          <w:sz w:val="24"/>
          <w:szCs w:val="24"/>
          <w14:ligatures w14:val="none"/>
        </w:rPr>
      </w:pPr>
      <w:r>
        <w:rPr>
          <w:rFonts w:hint="eastAsia" w:ascii="宋体" w:hAnsi="宋体" w:eastAsia="宋体" w:cs="Times New Roman"/>
          <w:b/>
          <w:kern w:val="0"/>
          <w:sz w:val="24"/>
          <w:szCs w:val="24"/>
          <w14:ligatures w14:val="none"/>
        </w:rPr>
        <w:t>附录</w:t>
      </w:r>
      <w:r>
        <w:rPr>
          <w:rFonts w:ascii="宋体" w:hAnsi="宋体" w:eastAsia="宋体" w:cs="Times New Roman"/>
          <w:b/>
          <w:kern w:val="0"/>
          <w:sz w:val="24"/>
          <w:szCs w:val="24"/>
          <w14:ligatures w14:val="none"/>
        </w:rPr>
        <w:t>3</w:t>
      </w:r>
      <w:r>
        <w:rPr>
          <w:rFonts w:hint="eastAsia" w:ascii="宋体" w:hAnsi="宋体" w:eastAsia="宋体" w:cs="Times New Roman"/>
          <w:b/>
          <w:kern w:val="0"/>
          <w:sz w:val="24"/>
          <w:szCs w:val="24"/>
          <w14:ligatures w14:val="none"/>
        </w:rPr>
        <w:t xml:space="preserve"> 资格审查条件（信誉最低要求）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信誉要求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eastAsia="宋体" w:cs="Times New Roman"/>
                <w14:ligatures w14:val="none"/>
              </w:rPr>
            </w:pPr>
            <w:r>
              <w:rPr>
                <w:rFonts w:hint="eastAsia" w:ascii="宋体" w:hAnsi="宋体" w:eastAsia="宋体" w:cs="Times New Roman"/>
                <w14:ligatures w14:val="none"/>
              </w:rPr>
              <w:t>投标人在近1年内(20</w:t>
            </w:r>
            <w:r>
              <w:rPr>
                <w:rFonts w:ascii="宋体" w:hAnsi="宋体" w:eastAsia="宋体" w:cs="Times New Roman"/>
                <w14:ligatures w14:val="none"/>
              </w:rPr>
              <w:t>22</w:t>
            </w:r>
            <w:r>
              <w:rPr>
                <w:rFonts w:hint="eastAsia" w:ascii="宋体" w:hAnsi="宋体" w:eastAsia="宋体" w:cs="Times New Roman"/>
                <w14:ligatures w14:val="none"/>
              </w:rPr>
              <w:t>年</w:t>
            </w:r>
            <w:r>
              <w:rPr>
                <w:rFonts w:ascii="宋体" w:hAnsi="宋体" w:eastAsia="宋体" w:cs="Times New Roman"/>
                <w14:ligatures w14:val="none"/>
              </w:rPr>
              <w:t>11月</w:t>
            </w:r>
            <w:r>
              <w:rPr>
                <w:rFonts w:hint="eastAsia" w:ascii="宋体" w:hAnsi="宋体" w:eastAsia="宋体" w:cs="Times New Roman"/>
                <w14:ligatures w14:val="none"/>
              </w:rPr>
              <w:t>1日至今)</w:t>
            </w:r>
            <w:r>
              <w:rPr>
                <w:rFonts w:hint="eastAsia" w:ascii="宋体" w:hAnsi="宋体" w:eastAsia="宋体" w:cs="Times New Roman"/>
                <w:szCs w:val="21"/>
                <w14:ligatures w14:val="none"/>
              </w:rPr>
              <w:t>不曾在高速公路保险服务合同中违约而被驱逐或因投标人自身的原因而使高速公路保险服务合同被解除。</w:t>
            </w:r>
          </w:p>
        </w:tc>
      </w:tr>
    </w:tbl>
    <w:p>
      <w:pPr>
        <w:spacing w:line="360" w:lineRule="exact"/>
        <w:jc w:val="left"/>
        <w:rPr>
          <w:rFonts w:ascii="宋体" w:hAnsi="宋体" w:eastAsia="宋体" w:cs="Times New Roman"/>
          <w:b/>
          <w:sz w:val="24"/>
          <w14:ligatures w14:val="none"/>
        </w:rPr>
      </w:pPr>
    </w:p>
    <w:p>
      <w:pPr>
        <w:spacing w:line="360" w:lineRule="exact"/>
        <w:jc w:val="left"/>
        <w:rPr>
          <w:rFonts w:ascii="宋体" w:hAnsi="宋体" w:eastAsia="宋体" w:cs="Times New Roman"/>
          <w:b/>
          <w:sz w:val="24"/>
          <w14:ligatures w14:val="none"/>
        </w:rPr>
      </w:pPr>
    </w:p>
    <w:p>
      <w:pPr>
        <w:adjustRightInd w:val="0"/>
        <w:spacing w:line="400" w:lineRule="atLeast"/>
        <w:ind w:firstLine="367" w:firstLineChars="175"/>
        <w:rPr>
          <w:rFonts w:ascii="宋体" w:hAnsi="宋体" w:eastAsia="宋体" w:cs="Times New Roman"/>
          <w:sz w:val="24"/>
          <w:szCs w:val="24"/>
          <w14:ligatures w14:val="none"/>
        </w:rPr>
      </w:pPr>
      <w:r>
        <w:rPr>
          <w:rFonts w:ascii="宋体" w:hAnsi="宋体" w:eastAsia="宋体" w:cs="Times New Roman"/>
          <w14:ligatures w14:val="none"/>
        </w:rPr>
        <w:br w:type="page"/>
      </w:r>
      <w:r>
        <w:rPr>
          <w:rFonts w:hint="eastAsia" w:ascii="宋体" w:hAnsi="宋体" w:eastAsia="宋体" w:cs="Times New Roman"/>
          <w:sz w:val="24"/>
          <w:szCs w:val="24"/>
          <w14:ligatures w14:val="none"/>
        </w:rPr>
        <w:t>附件2：评标办法</w:t>
      </w:r>
    </w:p>
    <w:p>
      <w:pPr>
        <w:rPr>
          <w:rFonts w:ascii="宋体" w:hAnsi="宋体" w:eastAsia="宋体" w:cs="Times New Roman"/>
          <w:bCs/>
          <w:kern w:val="0"/>
          <w:sz w:val="30"/>
          <w:szCs w:val="30"/>
          <w14:ligatures w14:val="none"/>
        </w:rPr>
      </w:pPr>
      <w:r>
        <w:rPr>
          <w:rFonts w:hint="eastAsia" w:ascii="宋体" w:hAnsi="宋体" w:eastAsia="宋体" w:cs="Times New Roman"/>
          <w14:ligatures w14:val="none"/>
        </w:rPr>
        <w:t>评标办法前附表</w:t>
      </w:r>
      <w:r>
        <w:rPr>
          <w:rFonts w:hint="eastAsia" w:ascii="宋体" w:hAnsi="宋体" w:eastAsia="宋体" w:cs="Times New Roman"/>
          <w:szCs w:val="21"/>
          <w14:ligatures w14:val="none"/>
        </w:rPr>
        <w:t xml:space="preserve"> </w:t>
      </w:r>
    </w:p>
    <w:tbl>
      <w:tblPr>
        <w:tblStyle w:val="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本次评标采用综合评估法，评标委员会对满足招标文件实质性要求的投标文件，按照本章第2.2款规定的评分标准进行打分，并按得分由高到低顺序推荐1-</w:t>
            </w:r>
            <w:r>
              <w:rPr>
                <w:rFonts w:ascii="宋体" w:hAnsi="宋体" w:eastAsia="宋体" w:cs="Times New Roman"/>
                <w:szCs w:val="21"/>
                <w14:ligatures w14:val="none"/>
              </w:rPr>
              <w:t>3</w:t>
            </w:r>
            <w:r>
              <w:rPr>
                <w:rFonts w:hint="eastAsia" w:ascii="宋体" w:hAnsi="宋体" w:eastAsia="宋体" w:cs="Times New Roman"/>
                <w:szCs w:val="21"/>
                <w14:ligatures w14:val="none"/>
              </w:rPr>
              <w:t>名中标候选人；综合评分相等时，评标委员会依次按照以下优先顺序推荐中标候选人：</w:t>
            </w:r>
          </w:p>
          <w:p>
            <w:pPr>
              <w:widowControl/>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（1）评标价低的投标人优先；</w:t>
            </w:r>
          </w:p>
          <w:p>
            <w:pPr>
              <w:widowControl/>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（2）技术得分较高的投标人优先；</w:t>
            </w:r>
          </w:p>
          <w:p>
            <w:pPr>
              <w:widowControl/>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（3）满足资格审查条件(业绩最低要求)的</w:t>
            </w:r>
            <w:r>
              <w:rPr>
                <w:rFonts w:hint="eastAsia" w:ascii="宋体" w:hAnsi="宋体" w:eastAsia="宋体" w:cs="宋体"/>
                <w:bCs/>
                <w:szCs w:val="21"/>
                <w14:ligatures w14:val="none"/>
              </w:rPr>
              <w:t>业绩</w:t>
            </w:r>
            <w:r>
              <w:rPr>
                <w:rFonts w:hint="eastAsia" w:ascii="宋体" w:hAnsi="宋体" w:eastAsia="宋体" w:cs="Times New Roman"/>
                <w:szCs w:val="21"/>
                <w14:ligatures w14:val="none"/>
              </w:rPr>
              <w:t xml:space="preserve">累计金额高的优先。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2.1.1</w:t>
            </w:r>
          </w:p>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2.1.</w:t>
            </w:r>
            <w:r>
              <w:rPr>
                <w:rFonts w:ascii="宋体" w:hAnsi="宋体" w:eastAsia="宋体" w:cs="Times New Roman"/>
                <w:szCs w:val="21"/>
                <w14:ligatures w14:val="none"/>
              </w:rPr>
              <w:t>3</w:t>
            </w:r>
            <w:r>
              <w:rPr>
                <w:rFonts w:hint="eastAsia" w:ascii="宋体" w:hAnsi="宋体" w:eastAsia="宋体" w:cs="Times New Roman"/>
                <w:szCs w:val="21"/>
                <w14:ligatures w14:val="none"/>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ascii="宋体" w:hAnsi="宋体" w:eastAsia="宋体" w:cs="Times New Roman"/>
                <w:b/>
                <w:szCs w:val="21"/>
                <w14:ligatures w14:val="none"/>
              </w:rPr>
            </w:pPr>
            <w:r>
              <w:rPr>
                <w:rFonts w:hint="eastAsia" w:ascii="宋体" w:hAnsi="宋体" w:eastAsia="宋体" w:cs="Times New Roman"/>
                <w:b/>
                <w:szCs w:val="21"/>
                <w14:ligatures w14:val="none"/>
              </w:rPr>
              <w:t>第一个信封（商务及技术文件）评审标准:</w:t>
            </w:r>
          </w:p>
          <w:p>
            <w:pPr>
              <w:widowControl/>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（1）投标文件按照招标文件规定的格式、内容填写，字迹清晰可辨：</w:t>
            </w:r>
          </w:p>
          <w:p>
            <w:pPr>
              <w:widowControl/>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a．投标函按招标文件规定填报了项目名称、补遗书编号（如有）、服务期限、质量要求及安全目标；</w:t>
            </w:r>
          </w:p>
          <w:p>
            <w:pPr>
              <w:widowControl/>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b．投标文件组成齐全完整，内容均按规定填写。</w:t>
            </w:r>
          </w:p>
          <w:p>
            <w:pPr>
              <w:widowControl/>
              <w:spacing w:line="360" w:lineRule="exact"/>
              <w:ind w:firstLine="420" w:firstLineChars="200"/>
              <w:jc w:val="left"/>
              <w:rPr>
                <w:rFonts w:ascii="宋体" w:hAnsi="宋体" w:eastAsia="宋体" w:cs="Times New Roman"/>
                <w:szCs w:val="21"/>
                <w14:ligatures w14:val="none"/>
              </w:rPr>
            </w:pPr>
            <w:r>
              <w:rPr>
                <w:rFonts w:hint="eastAsia" w:ascii="宋体" w:hAnsi="宋体" w:eastAsia="宋体" w:cs="Times New Roman"/>
                <w:szCs w:val="21"/>
                <w14:ligatures w14:val="none"/>
              </w:rPr>
              <w:t>（2）投标文件上法定代表人或其委托代理人的签字、投标人的单位章盖章齐全，符合招标文件规定。</w:t>
            </w:r>
          </w:p>
          <w:p>
            <w:pPr>
              <w:tabs>
                <w:tab w:val="left" w:pos="3060"/>
              </w:tabs>
              <w:spacing w:line="32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（3）投标人按照招标文件规定的金额、形式、时效和内容提供了投标保证金，并符合投标人须知前附表3.4.1项的相关规定。</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（4）投标人法定代表人授权委托代理人签署投标文件的，须提交授权委托书，且授权人和被授权人均在授权书上签名。</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（5）投标人法定代表人亲自签署投标文件的，提供了法定代表人身份证明，且法定代表人在法定代表人身份证明上签名。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（6）投标人未以联合体形式投标。</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（7）同一投标人未提交两个以上不同的投标文件。</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8</w:t>
            </w:r>
            <w:r>
              <w:rPr>
                <w:rFonts w:hint="eastAsia" w:ascii="宋体" w:hAnsi="宋体" w:eastAsia="宋体" w:cs="Times New Roman"/>
                <w:szCs w:val="21"/>
                <w14:ligatures w14:val="none"/>
              </w:rPr>
              <w:t>）投标文件中未出现有关投标报价的内容。</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9</w:t>
            </w:r>
            <w:r>
              <w:rPr>
                <w:rFonts w:hint="eastAsia" w:ascii="宋体" w:hAnsi="宋体" w:eastAsia="宋体" w:cs="Times New Roman"/>
                <w:szCs w:val="21"/>
                <w14:ligatures w14:val="none"/>
              </w:rPr>
              <w:t>）投标文件载明的招标项目完成期限符合招标文件规定的时限。</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10</w:t>
            </w:r>
            <w:r>
              <w:rPr>
                <w:rFonts w:hint="eastAsia" w:ascii="宋体" w:hAnsi="宋体" w:eastAsia="宋体" w:cs="Times New Roman"/>
                <w:szCs w:val="21"/>
                <w14:ligatures w14:val="none"/>
              </w:rPr>
              <w:t>）投标人未对本项目提出分包计划。</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（1</w:t>
            </w:r>
            <w:r>
              <w:rPr>
                <w:rFonts w:ascii="宋体" w:hAnsi="宋体" w:eastAsia="宋体" w:cs="Times New Roman"/>
                <w:szCs w:val="21"/>
                <w14:ligatures w14:val="none"/>
              </w:rPr>
              <w:t>1</w:t>
            </w:r>
            <w:r>
              <w:rPr>
                <w:rFonts w:hint="eastAsia" w:ascii="宋体" w:hAnsi="宋体" w:eastAsia="宋体" w:cs="Times New Roman"/>
                <w:szCs w:val="21"/>
                <w14:ligatures w14:val="none"/>
              </w:rPr>
              <w:t>）投标文件对招标文件的实质性要求和条件作出响应。</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（1</w:t>
            </w:r>
            <w:r>
              <w:rPr>
                <w:rFonts w:ascii="宋体" w:hAnsi="宋体" w:eastAsia="宋体" w:cs="Times New Roman"/>
                <w:szCs w:val="21"/>
                <w14:ligatures w14:val="none"/>
              </w:rPr>
              <w:t>2</w:t>
            </w:r>
            <w:r>
              <w:rPr>
                <w:rFonts w:hint="eastAsia" w:ascii="宋体" w:hAnsi="宋体" w:eastAsia="宋体" w:cs="Times New Roman"/>
                <w:szCs w:val="21"/>
                <w14:ligatures w14:val="none"/>
              </w:rPr>
              <w:t>）权利义务符合招标文件规定：</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a.投标人应接受招标文件规定的风险划分原则，未提出新的风险划分办法；</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b.投标人未增加发包人的责任范围，或减少投标人义务；</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c.投标人未提出不同的支付办法；</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d.投标人对合同纠纷、事故处理办法未提出异议；</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e.投标人在投标活动中无欺诈行为；</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f.投标人未对合同条款有重要保留。</w:t>
            </w:r>
          </w:p>
          <w:p>
            <w:pPr>
              <w:tabs>
                <w:tab w:val="left" w:pos="3060"/>
              </w:tabs>
              <w:spacing w:line="320" w:lineRule="exact"/>
              <w:rPr>
                <w:rFonts w:ascii="宋体" w:hAnsi="宋体" w:eastAsia="宋体" w:cs="Times New Roman"/>
                <w:b/>
                <w:szCs w:val="21"/>
                <w14:ligatures w14:val="none"/>
              </w:rPr>
            </w:pPr>
            <w:r>
              <w:rPr>
                <w:rFonts w:hint="eastAsia" w:ascii="宋体" w:hAnsi="宋体" w:eastAsia="宋体" w:cs="Times New Roman"/>
                <w:b/>
                <w:szCs w:val="21"/>
                <w14:ligatures w14:val="none"/>
              </w:rPr>
              <w:t>第二个信封（报价文件）评审标准：</w:t>
            </w:r>
          </w:p>
          <w:p>
            <w:pPr>
              <w:tabs>
                <w:tab w:val="left" w:pos="3060"/>
              </w:tabs>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（1）投标文件按照招标文件规定的格式、内容填写，字迹清晰可辨：</w:t>
            </w:r>
          </w:p>
          <w:p>
            <w:pPr>
              <w:tabs>
                <w:tab w:val="left" w:pos="3060"/>
              </w:tabs>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a.投标函按招标文件规定填报了项目名称、补遗书编号（如有）、投标价（包括大写金额和小写金额）；</w:t>
            </w:r>
          </w:p>
          <w:p>
            <w:pPr>
              <w:tabs>
                <w:tab w:val="left" w:pos="3060"/>
              </w:tabs>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b．已</w:t>
            </w:r>
            <w:r>
              <w:rPr>
                <w:rFonts w:hint="eastAsia" w:ascii="宋体" w:hAnsi="宋体" w:eastAsia="宋体" w:cs="Times New Roman"/>
                <w:szCs w:val="21"/>
                <w14:ligatures w14:val="none"/>
              </w:rPr>
              <w:t>标价</w:t>
            </w:r>
            <w:r>
              <w:rPr>
                <w:rFonts w:hint="eastAsia" w:ascii="宋体" w:hAnsi="宋体" w:eastAsia="宋体" w:cs="Times New Roman"/>
                <w:bCs/>
                <w:szCs w:val="21"/>
                <w14:ligatures w14:val="none"/>
              </w:rPr>
              <w:t>清单说明文字与招标文件规定一致，未进行实质性修改和删减；</w:t>
            </w:r>
          </w:p>
          <w:p>
            <w:pPr>
              <w:tabs>
                <w:tab w:val="left" w:pos="3060"/>
              </w:tabs>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c．投标文件组成齐全完整，内容均按规定填写。</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bCs/>
                <w:szCs w:val="21"/>
                <w14:ligatures w14:val="none"/>
              </w:rPr>
              <w:t>（2）投标</w:t>
            </w:r>
            <w:r>
              <w:rPr>
                <w:rFonts w:hint="eastAsia" w:ascii="宋体" w:hAnsi="宋体" w:eastAsia="宋体" w:cs="Times New Roman"/>
                <w:szCs w:val="21"/>
                <w14:ligatures w14:val="none"/>
              </w:rPr>
              <w:t>文件</w:t>
            </w:r>
            <w:r>
              <w:rPr>
                <w:rFonts w:hint="eastAsia" w:ascii="宋体" w:hAnsi="宋体" w:eastAsia="宋体" w:cs="Times New Roman"/>
                <w:bCs/>
                <w:szCs w:val="21"/>
                <w14:ligatures w14:val="none"/>
              </w:rPr>
              <w:t>上法定代表人或其授权代理人的签字、投标人的单位章盖章齐全，符合招标文件规定。</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（3）投标报价未超过招标文件设定的最高投标限价。</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（4）投标报价的大写金额能够确定具体数值。</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（5）同一投标人未提交两个以上不同的投标报价。</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（6）</w:t>
            </w:r>
            <w:r>
              <w:rPr>
                <w:rFonts w:hint="eastAsia" w:ascii="宋体" w:hAnsi="宋体" w:eastAsia="宋体" w:cs="Times New Roman"/>
                <w:bCs/>
                <w:szCs w:val="21"/>
                <w14:ligatures w14:val="none"/>
              </w:rPr>
              <w:t>已</w:t>
            </w:r>
            <w:r>
              <w:rPr>
                <w:rFonts w:hint="eastAsia" w:ascii="宋体" w:hAnsi="宋体" w:eastAsia="宋体" w:cs="Times New Roman"/>
                <w:szCs w:val="21"/>
                <w14:ligatures w14:val="none"/>
              </w:rPr>
              <w:t>标价清单中的投标报价和投标函大写金额报价一致。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（1）投标人具备有效的营业执照、《保险许可证》和基本账户开户许可证或基本存款账户信息。</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（2）投标人的资质等级符合招标文件规定。</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（3）投标人的业绩符合招标文件规定。</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4</w:t>
            </w:r>
            <w:r>
              <w:rPr>
                <w:rFonts w:hint="eastAsia" w:ascii="宋体" w:hAnsi="宋体" w:eastAsia="宋体" w:cs="Times New Roman"/>
                <w:szCs w:val="21"/>
                <w14:ligatures w14:val="none"/>
              </w:rPr>
              <w:t>）投标人的信誉符合招标文件规定。</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5</w:t>
            </w:r>
            <w:r>
              <w:rPr>
                <w:rFonts w:hint="eastAsia" w:ascii="宋体" w:hAnsi="宋体" w:eastAsia="宋体" w:cs="Times New Roman"/>
                <w:szCs w:val="21"/>
                <w14:ligatures w14:val="none"/>
              </w:rPr>
              <w:t>）投标人不存在第二章“投标人须知”第1.4.3项或1.4.4项规定的任何一种情形。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 xml:space="preserve">业 </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 xml:space="preserve">绩：       </w:t>
            </w:r>
            <w:r>
              <w:rPr>
                <w:rFonts w:ascii="宋体" w:hAnsi="宋体" w:eastAsia="宋体" w:cs="Times New Roman"/>
                <w:szCs w:val="21"/>
                <w14:ligatures w14:val="none"/>
              </w:rPr>
              <w:t>20</w:t>
            </w:r>
            <w:r>
              <w:rPr>
                <w:rFonts w:hint="eastAsia" w:ascii="宋体" w:hAnsi="宋体" w:eastAsia="宋体" w:cs="Times New Roman"/>
                <w:szCs w:val="21"/>
                <w14:ligatures w14:val="none"/>
              </w:rPr>
              <w:t>分</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 xml:space="preserve">服务方案：       </w:t>
            </w:r>
            <w:r>
              <w:rPr>
                <w:rFonts w:ascii="宋体" w:hAnsi="宋体" w:eastAsia="宋体" w:cs="Times New Roman"/>
                <w:szCs w:val="21"/>
                <w14:ligatures w14:val="none"/>
              </w:rPr>
              <w:t>50</w:t>
            </w:r>
            <w:r>
              <w:rPr>
                <w:rFonts w:hint="eastAsia" w:ascii="宋体" w:hAnsi="宋体" w:eastAsia="宋体" w:cs="Times New Roman"/>
                <w:szCs w:val="21"/>
                <w14:ligatures w14:val="none"/>
              </w:rPr>
              <w:t>分</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 xml:space="preserve">评 标 价：       </w:t>
            </w:r>
            <w:r>
              <w:rPr>
                <w:rFonts w:ascii="宋体" w:hAnsi="宋体" w:eastAsia="宋体" w:cs="Times New Roman"/>
                <w:szCs w:val="21"/>
                <w14:ligatures w14:val="none"/>
              </w:rPr>
              <w:t>3</w:t>
            </w:r>
            <w:r>
              <w:rPr>
                <w:rFonts w:hint="eastAsia" w:ascii="宋体" w:hAnsi="宋体" w:eastAsia="宋体" w:cs="Times New Roman"/>
                <w:szCs w:val="21"/>
                <w14:ligatures w14: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cs="Times New Roman"/>
                <w:szCs w:val="21"/>
                <w14:ligatures w14:val="none"/>
              </w:rPr>
            </w:pPr>
            <w:r>
              <w:rPr>
                <w:rFonts w:hint="eastAsia" w:ascii="宋体" w:hAnsi="宋体" w:eastAsia="宋体" w:cs="Times New Roman"/>
                <w:szCs w:val="21"/>
                <w14:ligatures w14:val="none"/>
              </w:rPr>
              <w:t xml:space="preserve">评标基准价的计算： </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(1)评标价的确定：</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评标价=投标函文字报价</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(2)评标价平均值的计算：</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(3)评标基准价的确定：</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评标价平均值直接作为评标基准价。</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评标基准价保留小数点后两位，小数点后第三位四舍五入。</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14:ligatures w14: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14:ligatures w14:val="none"/>
              </w:rPr>
            </w:pPr>
            <w:r>
              <w:rPr>
                <w:rFonts w:hint="eastAsia" w:ascii="宋体" w:hAnsi="宋体" w:eastAsia="宋体" w:cs="Times New Roman"/>
                <w:szCs w:val="21"/>
                <w14:ligatures w14:val="none"/>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14:ligatures w14:val="none"/>
              </w:rPr>
            </w:pPr>
            <w:r>
              <w:rPr>
                <w:rFonts w:hint="eastAsia" w:ascii="宋体" w:hAnsi="宋体" w:eastAsia="宋体" w:cs="Times New Roman"/>
                <w:szCs w:val="21"/>
                <w14:ligatures w14:val="none"/>
              </w:rPr>
              <w:t>3</w:t>
            </w:r>
            <w:r>
              <w:rPr>
                <w:rFonts w:ascii="宋体" w:hAnsi="宋体" w:eastAsia="宋体" w:cs="Times New Roman"/>
                <w:szCs w:val="21"/>
                <w14:ligatures w14:val="none"/>
              </w:rPr>
              <w:t>.6.1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eastAsia="宋体" w:cs="Times New Roman"/>
                <w14:ligatures w14:val="none"/>
              </w:rPr>
            </w:pPr>
            <w:r>
              <w:rPr>
                <w:rFonts w:hint="eastAsia" w:ascii="宋体" w:hAnsi="宋体" w:eastAsia="宋体" w:cs="Times New Roman"/>
                <w14:ligatures w14:val="none"/>
              </w:rPr>
              <w:t>在评标过程中，评标委员会应对以下信息进行查询：</w:t>
            </w:r>
          </w:p>
          <w:p>
            <w:pPr>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1</w:t>
            </w:r>
            <w:r>
              <w:rPr>
                <w:rFonts w:hint="eastAsia" w:ascii="宋体" w:hAnsi="宋体" w:eastAsia="宋体" w:cs="Times New Roman"/>
                <w:szCs w:val="21"/>
                <w14:ligatures w14:val="none"/>
              </w:rPr>
              <w:t>）评标委员会评标时在“国家企业信用信息公示系统（http://www.gsxt.gov.cn/)”对投标人的信用情况进行查询，若投标人存在被列入“严重违法失信企业名单”情形的（不含分公司），评标委员会应否决其投标。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2）评标委员会评标时在“信用中国网站（http://www.creditchina.gov.cn/)”进行查询，若投标人存在被列入“失信被执行人、异常经营名录、税收违法黑名单、政府采购严重违法失信行为记录名单”情形的（均不含分公司），评标委员会应否决其投标。</w:t>
            </w:r>
          </w:p>
          <w:p>
            <w:pPr>
              <w:spacing w:line="360" w:lineRule="exact"/>
              <w:ind w:firstLine="420" w:firstLineChars="200"/>
              <w:rPr>
                <w:rFonts w:ascii="Calibri" w:hAnsi="Calibri" w:eastAsia="宋体" w:cs="Times New Roman"/>
                <w:szCs w:val="24"/>
                <w14:ligatures w14:val="none"/>
              </w:rPr>
            </w:pPr>
            <w:r>
              <w:rPr>
                <w:rFonts w:hint="eastAsia" w:ascii="宋体" w:hAnsi="宋体" w:eastAsia="宋体" w:cs="Times New Roman"/>
                <w:szCs w:val="21"/>
                <w14:ligatures w14:val="none"/>
              </w:rPr>
              <w:t>如投标人未提供相关网页截图或所附截图与复核结果不一致，评标委员会应否决其投标。</w:t>
            </w:r>
          </w:p>
          <w:p>
            <w:pPr>
              <w:spacing w:line="360" w:lineRule="exact"/>
              <w:ind w:firstLine="420" w:firstLineChars="200"/>
              <w:rPr>
                <w:rFonts w:ascii="Times New Roman" w:hAnsi="Times New Roman" w:eastAsia="宋体" w:cs="Times New Roman"/>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3</w:t>
            </w:r>
            <w:r>
              <w:rPr>
                <w:rFonts w:hint="eastAsia" w:ascii="宋体" w:hAnsi="宋体" w:eastAsia="宋体" w:cs="Times New Roman"/>
                <w:szCs w:val="21"/>
                <w14:ligatures w14:val="none"/>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14:ligatures w14:val="none"/>
              </w:rPr>
            </w:pPr>
            <w:r>
              <w:rPr>
                <w:rFonts w:hint="eastAsia" w:ascii="宋体" w:hAnsi="宋体" w:eastAsia="宋体" w:cs="Times New Roman"/>
                <w:szCs w:val="21"/>
                <w14:ligatures w14:val="none"/>
              </w:rPr>
              <w:t>需要补充的其他内容：无</w:t>
            </w:r>
          </w:p>
        </w:tc>
      </w:tr>
    </w:tbl>
    <w:p>
      <w:pPr>
        <w:jc w:val="left"/>
        <w:rPr>
          <w:rFonts w:ascii="宋体" w:hAnsi="宋体" w:eastAsia="宋体" w:cs="Times New Roman"/>
          <w:szCs w:val="21"/>
          <w14:ligatures w14:val="none"/>
        </w:rPr>
      </w:pPr>
      <w:r>
        <w:rPr>
          <w:rFonts w:ascii="宋体" w:hAnsi="宋体" w:eastAsia="宋体" w:cs="Times New Roman"/>
          <w:szCs w:val="21"/>
          <w14:ligatures w14:val="none"/>
        </w:rPr>
        <w:br w:type="page"/>
      </w:r>
      <w:r>
        <w:rPr>
          <w:rFonts w:hint="eastAsia" w:ascii="宋体" w:hAnsi="宋体" w:eastAsia="宋体" w:cs="Times New Roman"/>
          <w:szCs w:val="21"/>
          <w14:ligatures w14:val="none"/>
        </w:rPr>
        <w:t>具体评分标准如下：</w:t>
      </w:r>
    </w:p>
    <w:tbl>
      <w:tblPr>
        <w:tblStyle w:val="2"/>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序号</w:t>
            </w:r>
          </w:p>
        </w:tc>
        <w:tc>
          <w:tcPr>
            <w:tcW w:w="2154" w:type="dxa"/>
            <w:gridSpan w:val="2"/>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评审项目</w:t>
            </w:r>
          </w:p>
        </w:tc>
        <w:tc>
          <w:tcPr>
            <w:tcW w:w="843"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标准分</w:t>
            </w:r>
          </w:p>
        </w:tc>
        <w:tc>
          <w:tcPr>
            <w:tcW w:w="5978"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评</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分</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标</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5" w:type="dxa"/>
            <w:vAlign w:val="center"/>
          </w:tcPr>
          <w:p>
            <w:pPr>
              <w:snapToGrid w:val="0"/>
              <w:jc w:val="center"/>
              <w:rPr>
                <w:rFonts w:ascii="宋体" w:hAnsi="宋体" w:eastAsia="宋体" w:cs="宋体"/>
                <w:bCs/>
                <w:w w:val="90"/>
                <w:szCs w:val="21"/>
                <w14:ligatures w14:val="none"/>
              </w:rPr>
            </w:pPr>
            <w:r>
              <w:rPr>
                <w:rFonts w:ascii="宋体" w:hAnsi="宋体" w:eastAsia="宋体" w:cs="宋体"/>
                <w:bCs/>
                <w:w w:val="90"/>
                <w:szCs w:val="21"/>
                <w14:ligatures w14:val="none"/>
              </w:rPr>
              <w:t>2.2.4</w:t>
            </w:r>
            <w:r>
              <w:rPr>
                <w:rFonts w:hint="eastAsia" w:ascii="宋体" w:hAnsi="宋体" w:eastAsia="宋体" w:cs="宋体"/>
                <w:bCs/>
                <w:w w:val="90"/>
                <w:szCs w:val="21"/>
                <w14:ligatures w14:val="none"/>
              </w:rPr>
              <w:t>（1）</w:t>
            </w:r>
          </w:p>
        </w:tc>
        <w:tc>
          <w:tcPr>
            <w:tcW w:w="2154" w:type="dxa"/>
            <w:gridSpan w:val="2"/>
            <w:vAlign w:val="center"/>
          </w:tcPr>
          <w:p>
            <w:pPr>
              <w:snapToGrid w:val="0"/>
              <w:jc w:val="center"/>
              <w:rPr>
                <w:rFonts w:ascii="宋体" w:hAnsi="宋体" w:eastAsia="宋体" w:cs="宋体"/>
                <w:bCs/>
                <w:szCs w:val="21"/>
                <w14:ligatures w14:val="none"/>
              </w:rPr>
            </w:pPr>
            <w:r>
              <w:rPr>
                <w:rFonts w:hint="eastAsia" w:ascii="宋体" w:hAnsi="宋体" w:eastAsia="宋体" w:cs="宋体"/>
                <w:bCs/>
                <w:szCs w:val="21"/>
                <w14:ligatures w14:val="none"/>
              </w:rPr>
              <w:t>业绩</w:t>
            </w:r>
          </w:p>
        </w:tc>
        <w:tc>
          <w:tcPr>
            <w:tcW w:w="843" w:type="dxa"/>
            <w:vAlign w:val="center"/>
          </w:tcPr>
          <w:p>
            <w:pPr>
              <w:snapToGrid w:val="0"/>
              <w:jc w:val="center"/>
              <w:rPr>
                <w:rFonts w:ascii="宋体" w:hAnsi="宋体" w:eastAsia="宋体" w:cs="宋体"/>
                <w:bCs/>
                <w:szCs w:val="21"/>
                <w14:ligatures w14:val="none"/>
              </w:rPr>
            </w:pPr>
            <w:r>
              <w:rPr>
                <w:rFonts w:ascii="宋体" w:hAnsi="宋体" w:eastAsia="宋体" w:cs="宋体"/>
                <w:bCs/>
                <w:szCs w:val="21"/>
                <w14:ligatures w14:val="none"/>
              </w:rPr>
              <w:t>20</w:t>
            </w:r>
            <w:r>
              <w:rPr>
                <w:rFonts w:hint="eastAsia" w:ascii="宋体" w:hAnsi="宋体" w:eastAsia="宋体" w:cs="宋体"/>
                <w:bCs/>
                <w:szCs w:val="21"/>
                <w14:ligatures w14:val="none"/>
              </w:rPr>
              <w:t>分</w:t>
            </w:r>
          </w:p>
        </w:tc>
        <w:tc>
          <w:tcPr>
            <w:tcW w:w="5978" w:type="dxa"/>
            <w:vAlign w:val="center"/>
          </w:tcPr>
          <w:p>
            <w:pPr>
              <w:snapToGrid w:val="0"/>
              <w:rPr>
                <w:rFonts w:ascii="宋体" w:hAnsi="宋体" w:eastAsia="宋体" w:cs="Times New Roman"/>
                <w:szCs w:val="21"/>
                <w14:ligatures w14:val="none"/>
              </w:rPr>
            </w:pPr>
            <w:r>
              <w:rPr>
                <w:rFonts w:hint="eastAsia" w:ascii="宋体" w:hAnsi="宋体" w:eastAsia="宋体" w:cs="Times New Roman"/>
                <w:szCs w:val="21"/>
                <w14:ligatures w14:val="none"/>
              </w:rPr>
              <w:t>满足资格审查条件(业绩最低要求)得</w:t>
            </w:r>
            <w:r>
              <w:rPr>
                <w:rFonts w:ascii="宋体" w:hAnsi="宋体" w:eastAsia="宋体" w:cs="Times New Roman"/>
                <w:szCs w:val="21"/>
                <w14:ligatures w14:val="none"/>
              </w:rPr>
              <w:t>12</w:t>
            </w:r>
            <w:r>
              <w:rPr>
                <w:rFonts w:hint="eastAsia" w:ascii="宋体" w:hAnsi="宋体" w:eastAsia="宋体" w:cs="Times New Roman"/>
                <w:szCs w:val="21"/>
                <w14:ligatures w14:val="none"/>
              </w:rPr>
              <w:t>分；</w:t>
            </w:r>
          </w:p>
          <w:p>
            <w:pPr>
              <w:snapToGrid w:val="0"/>
              <w:rPr>
                <w:rFonts w:ascii="宋体" w:hAnsi="宋体" w:eastAsia="宋体" w:cs="宋体"/>
                <w:bCs/>
                <w:szCs w:val="21"/>
                <w14:ligatures w14:val="none"/>
              </w:rPr>
            </w:pPr>
            <w:r>
              <w:rPr>
                <w:rFonts w:hint="eastAsia" w:ascii="宋体" w:hAnsi="宋体" w:eastAsia="宋体" w:cs="Times New Roman"/>
                <w:szCs w:val="21"/>
                <w14:ligatures w14:val="none"/>
              </w:rPr>
              <w:t>近3年内（2020年</w:t>
            </w:r>
            <w:r>
              <w:rPr>
                <w:rFonts w:ascii="宋体" w:hAnsi="宋体" w:eastAsia="宋体" w:cs="Times New Roman"/>
                <w:szCs w:val="21"/>
                <w14:ligatures w14:val="none"/>
              </w:rPr>
              <w:t>11</w:t>
            </w:r>
            <w:r>
              <w:rPr>
                <w:rFonts w:hint="eastAsia" w:ascii="宋体" w:hAnsi="宋体" w:eastAsia="宋体" w:cs="Times New Roman"/>
                <w:szCs w:val="21"/>
                <w14:ligatures w14:val="none"/>
              </w:rPr>
              <w:t>月1日至今，以合同签订时间为准）每增加一项车辆保险（非个人且包含机动车交通事故责任强制保险、车辆损失险、第三者责任险、人员险）服务业绩业绩加4分，最高加8分。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2726" w:hRule="exact"/>
          <w:jc w:val="center"/>
        </w:trPr>
        <w:tc>
          <w:tcPr>
            <w:tcW w:w="735" w:type="dxa"/>
            <w:vMerge w:val="restart"/>
            <w:tcBorders>
              <w:right w:val="single" w:color="auto" w:sz="2" w:space="0"/>
            </w:tcBorders>
            <w:vAlign w:val="center"/>
          </w:tcPr>
          <w:p>
            <w:pPr>
              <w:snapToGrid w:val="0"/>
              <w:jc w:val="center"/>
              <w:rPr>
                <w:rFonts w:ascii="宋体" w:hAnsi="宋体" w:eastAsia="宋体" w:cs="宋体"/>
                <w:bCs/>
                <w:w w:val="90"/>
                <w:szCs w:val="21"/>
                <w14:ligatures w14:val="none"/>
              </w:rPr>
            </w:pPr>
            <w:r>
              <w:rPr>
                <w:rFonts w:ascii="宋体" w:hAnsi="宋体" w:eastAsia="宋体" w:cs="宋体"/>
                <w:bCs/>
                <w:w w:val="90"/>
                <w:szCs w:val="21"/>
                <w14:ligatures w14:val="none"/>
              </w:rPr>
              <w:t>2.2.4</w:t>
            </w:r>
            <w:r>
              <w:rPr>
                <w:rFonts w:hint="eastAsia" w:ascii="宋体" w:hAnsi="宋体" w:eastAsia="宋体" w:cs="宋体"/>
                <w:bCs/>
                <w:w w:val="90"/>
                <w:szCs w:val="21"/>
                <w14:ligatures w14:val="none"/>
              </w:rPr>
              <w:t>（</w:t>
            </w:r>
            <w:r>
              <w:rPr>
                <w:rFonts w:ascii="宋体" w:hAnsi="宋体" w:eastAsia="宋体" w:cs="宋体"/>
                <w:bCs/>
                <w:w w:val="90"/>
                <w:szCs w:val="21"/>
                <w14:ligatures w14:val="none"/>
              </w:rPr>
              <w:t>2</w:t>
            </w:r>
            <w:r>
              <w:rPr>
                <w:rFonts w:hint="eastAsia" w:ascii="宋体" w:hAnsi="宋体" w:eastAsia="宋体" w:cs="宋体"/>
                <w:bCs/>
                <w:w w:val="90"/>
                <w:szCs w:val="21"/>
                <w14:ligatures w14:val="none"/>
              </w:rPr>
              <w:t>）</w:t>
            </w:r>
          </w:p>
        </w:tc>
        <w:tc>
          <w:tcPr>
            <w:tcW w:w="1030" w:type="dxa"/>
            <w:vMerge w:val="restart"/>
            <w:tcBorders>
              <w:left w:val="single" w:color="auto" w:sz="2" w:space="0"/>
              <w:right w:val="single" w:color="auto" w:sz="2" w:space="0"/>
            </w:tcBorders>
            <w:vAlign w:val="center"/>
          </w:tcPr>
          <w:p>
            <w:pPr>
              <w:snapToGrid w:val="0"/>
              <w:spacing w:before="156" w:beforeLines="50" w:after="156" w:afterLines="50"/>
              <w:jc w:val="center"/>
              <w:rPr>
                <w:rFonts w:ascii="宋体" w:hAnsi="宋体" w:eastAsia="宋体" w:cs="宋体"/>
                <w:bCs/>
                <w:szCs w:val="21"/>
                <w14:ligatures w14:val="none"/>
              </w:rPr>
            </w:pPr>
            <w:r>
              <w:rPr>
                <w:rFonts w:hint="eastAsia" w:ascii="宋体" w:hAnsi="宋体" w:eastAsia="宋体" w:cs="宋体"/>
                <w:bCs/>
                <w:szCs w:val="21"/>
                <w14:ligatures w14:val="none"/>
              </w:rPr>
              <w:t>服务方案</w:t>
            </w:r>
          </w:p>
          <w:p>
            <w:pPr>
              <w:snapToGrid w:val="0"/>
              <w:spacing w:before="156" w:beforeLines="50" w:after="156" w:afterLines="50"/>
              <w:jc w:val="center"/>
              <w:rPr>
                <w:rFonts w:ascii="宋体" w:hAnsi="宋体" w:eastAsia="宋体" w:cs="宋体"/>
                <w:bCs/>
                <w:szCs w:val="21"/>
                <w14:ligatures w14:val="none"/>
              </w:rPr>
            </w:pPr>
            <w:r>
              <w:rPr>
                <w:rFonts w:hint="eastAsia" w:ascii="宋体" w:hAnsi="宋体" w:eastAsia="宋体" w:cs="宋体"/>
                <w:bCs/>
                <w:szCs w:val="21"/>
                <w14:ligatures w14:val="none"/>
              </w:rPr>
              <w:t>（</w:t>
            </w:r>
            <w:r>
              <w:rPr>
                <w:rFonts w:ascii="宋体" w:hAnsi="宋体" w:eastAsia="宋体" w:cs="宋体"/>
                <w:bCs/>
                <w:szCs w:val="21"/>
                <w14:ligatures w14:val="none"/>
              </w:rPr>
              <w:t>50</w:t>
            </w:r>
            <w:r>
              <w:rPr>
                <w:rFonts w:hint="eastAsia" w:ascii="宋体" w:hAnsi="宋体" w:eastAsia="宋体" w:cs="宋体"/>
                <w:bCs/>
                <w:szCs w:val="21"/>
                <w14:ligatures w14:val="none"/>
              </w:rPr>
              <w:t>分）</w:t>
            </w:r>
          </w:p>
        </w:tc>
        <w:tc>
          <w:tcPr>
            <w:tcW w:w="1124" w:type="dxa"/>
            <w:tcBorders>
              <w:left w:val="single" w:color="auto" w:sz="2" w:space="0"/>
            </w:tcBorders>
            <w:vAlign w:val="center"/>
          </w:tcPr>
          <w:p>
            <w:pPr>
              <w:snapToGrid w:val="0"/>
              <w:spacing w:before="156" w:beforeLines="50" w:after="156" w:afterLines="50"/>
              <w:jc w:val="center"/>
              <w:rPr>
                <w:rFonts w:ascii="宋体" w:hAnsi="宋体" w:eastAsia="宋体" w:cs="宋体"/>
                <w:bCs/>
                <w:szCs w:val="21"/>
                <w14:ligatures w14:val="none"/>
              </w:rPr>
            </w:pPr>
            <w:r>
              <w:rPr>
                <w:rFonts w:hint="eastAsia" w:ascii="宋体" w:hAnsi="宋体" w:eastAsia="宋体" w:cs="仿宋"/>
                <w:szCs w:val="21"/>
                <w14:ligatures w14:val="none"/>
              </w:rPr>
              <w:t>服务流程制度</w:t>
            </w:r>
          </w:p>
        </w:tc>
        <w:tc>
          <w:tcPr>
            <w:tcW w:w="843" w:type="dxa"/>
            <w:vAlign w:val="center"/>
          </w:tcPr>
          <w:p>
            <w:pPr>
              <w:snapToGrid w:val="0"/>
              <w:jc w:val="center"/>
              <w:rPr>
                <w:rFonts w:ascii="宋体" w:hAnsi="宋体" w:eastAsia="宋体" w:cs="宋体"/>
                <w:bCs/>
                <w:szCs w:val="21"/>
                <w14:ligatures w14:val="none"/>
              </w:rPr>
            </w:pPr>
            <w:r>
              <w:rPr>
                <w:rFonts w:hint="eastAsia" w:ascii="宋体" w:hAnsi="宋体" w:eastAsia="宋体" w:cs="仿宋"/>
                <w:bCs/>
                <w:szCs w:val="21"/>
                <w14:ligatures w14:val="none"/>
              </w:rPr>
              <w:t>20</w:t>
            </w:r>
          </w:p>
        </w:tc>
        <w:tc>
          <w:tcPr>
            <w:tcW w:w="5978" w:type="dxa"/>
            <w:vAlign w:val="center"/>
          </w:tcPr>
          <w:p>
            <w:pPr>
              <w:snapToGrid w:val="0"/>
              <w:spacing w:line="400" w:lineRule="exact"/>
              <w:rPr>
                <w:rFonts w:ascii="宋体" w:hAnsi="宋体" w:eastAsia="宋体" w:cs="仿宋"/>
                <w:bCs/>
                <w:szCs w:val="21"/>
                <w14:ligatures w14:val="none"/>
              </w:rPr>
            </w:pPr>
            <w:r>
              <w:rPr>
                <w:rFonts w:hint="eastAsia" w:ascii="宋体" w:hAnsi="宋体" w:eastAsia="宋体" w:cs="仿宋"/>
                <w:bCs/>
                <w:szCs w:val="21"/>
                <w14:ligatures w14:val="none"/>
              </w:rPr>
              <w:t>投标人应建立新车入保、旧车续保、出险等业务流程、管理制度。包括业务流程图示，上门服务方案，投保、续保手续及服务时限，承保服务保证措施，保费的计算、结算等内容</w:t>
            </w:r>
          </w:p>
          <w:p>
            <w:pPr>
              <w:snapToGrid w:val="0"/>
              <w:spacing w:line="400" w:lineRule="exact"/>
              <w:rPr>
                <w:rFonts w:ascii="宋体" w:hAnsi="宋体" w:eastAsia="宋体" w:cs="仿宋"/>
                <w:bCs/>
                <w:szCs w:val="21"/>
                <w14:ligatures w14:val="none"/>
              </w:rPr>
            </w:pPr>
            <w:r>
              <w:rPr>
                <w:rFonts w:hint="eastAsia" w:ascii="宋体" w:hAnsi="宋体" w:eastAsia="宋体" w:cs="仿宋"/>
                <w:bCs/>
                <w:szCs w:val="21"/>
                <w14:ligatures w14:val="none"/>
              </w:rPr>
              <w:t>第一档，科学合理，内容详细，得</w:t>
            </w:r>
            <w:r>
              <w:rPr>
                <w:rFonts w:ascii="宋体" w:hAnsi="宋体" w:eastAsia="宋体" w:cs="仿宋"/>
                <w:bCs/>
                <w:szCs w:val="21"/>
                <w14:ligatures w14:val="none"/>
              </w:rPr>
              <w:t>16</w:t>
            </w:r>
            <w:r>
              <w:rPr>
                <w:rFonts w:hint="eastAsia" w:ascii="宋体" w:hAnsi="宋体" w:eastAsia="宋体" w:cs="仿宋"/>
                <w:bCs/>
                <w:szCs w:val="21"/>
                <w14:ligatures w14:val="none"/>
              </w:rPr>
              <w:t>-20分；</w:t>
            </w:r>
          </w:p>
          <w:p>
            <w:pPr>
              <w:snapToGrid w:val="0"/>
              <w:spacing w:line="400" w:lineRule="exact"/>
              <w:rPr>
                <w:rFonts w:ascii="宋体" w:hAnsi="宋体" w:eastAsia="宋体" w:cs="仿宋"/>
                <w:bCs/>
                <w:szCs w:val="21"/>
                <w14:ligatures w14:val="none"/>
              </w:rPr>
            </w:pPr>
            <w:r>
              <w:rPr>
                <w:rFonts w:hint="eastAsia" w:ascii="宋体" w:hAnsi="宋体" w:eastAsia="宋体" w:cs="仿宋"/>
                <w:bCs/>
                <w:szCs w:val="21"/>
                <w14:ligatures w14:val="none"/>
              </w:rPr>
              <w:t>第二档，较科学合理，内容较详细，得</w:t>
            </w:r>
            <w:r>
              <w:rPr>
                <w:rFonts w:ascii="宋体" w:hAnsi="宋体" w:eastAsia="宋体" w:cs="仿宋"/>
                <w:bCs/>
                <w:szCs w:val="21"/>
                <w14:ligatures w14:val="none"/>
              </w:rPr>
              <w:t>12</w:t>
            </w:r>
            <w:r>
              <w:rPr>
                <w:rFonts w:hint="eastAsia" w:ascii="宋体" w:hAnsi="宋体" w:eastAsia="宋体" w:cs="仿宋"/>
                <w:bCs/>
                <w:szCs w:val="21"/>
                <w14:ligatures w14:val="none"/>
              </w:rPr>
              <w:t>-</w:t>
            </w:r>
            <w:r>
              <w:rPr>
                <w:rFonts w:ascii="宋体" w:hAnsi="宋体" w:eastAsia="宋体" w:cs="仿宋"/>
                <w:bCs/>
                <w:szCs w:val="21"/>
                <w14:ligatures w14:val="none"/>
              </w:rPr>
              <w:t>16</w:t>
            </w:r>
            <w:r>
              <w:rPr>
                <w:rFonts w:hint="eastAsia" w:ascii="宋体" w:hAnsi="宋体" w:eastAsia="宋体" w:cs="仿宋"/>
                <w:bCs/>
                <w:szCs w:val="21"/>
                <w14:ligatures w14:val="none"/>
              </w:rPr>
              <w:t>分；</w:t>
            </w:r>
          </w:p>
          <w:p>
            <w:pPr>
              <w:snapToGrid w:val="0"/>
              <w:rPr>
                <w:rFonts w:ascii="宋体" w:hAnsi="宋体" w:eastAsia="宋体" w:cs="Times New Roman"/>
                <w:szCs w:val="21"/>
                <w14:ligatures w14:val="none"/>
              </w:rPr>
            </w:pPr>
            <w:r>
              <w:rPr>
                <w:rFonts w:hint="eastAsia" w:ascii="宋体" w:hAnsi="宋体" w:eastAsia="宋体" w:cs="仿宋"/>
                <w:bCs/>
                <w:szCs w:val="21"/>
                <w14:ligatures w14:val="none"/>
              </w:rPr>
              <w:t>第三档，基本合理，内容简单，得1</w:t>
            </w:r>
            <w:r>
              <w:rPr>
                <w:rFonts w:ascii="宋体" w:hAnsi="宋体" w:eastAsia="宋体" w:cs="仿宋"/>
                <w:bCs/>
                <w:szCs w:val="21"/>
                <w14:ligatures w14:val="none"/>
              </w:rPr>
              <w:t>2</w:t>
            </w:r>
            <w:r>
              <w:rPr>
                <w:rFonts w:hint="eastAsia" w:ascii="宋体" w:hAnsi="宋体" w:eastAsia="宋体" w:cs="仿宋"/>
                <w:bCs/>
                <w:szCs w:val="21"/>
                <w14:ligatures w14:val="none"/>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2836"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14:ligatures w14:val="none"/>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14:ligatures w14:val="none"/>
              </w:rPr>
            </w:pPr>
          </w:p>
        </w:tc>
        <w:tc>
          <w:tcPr>
            <w:tcW w:w="1124" w:type="dxa"/>
            <w:tcBorders>
              <w:left w:val="single" w:color="auto" w:sz="2" w:space="0"/>
            </w:tcBorders>
            <w:vAlign w:val="center"/>
          </w:tcPr>
          <w:p>
            <w:pPr>
              <w:snapToGrid w:val="0"/>
              <w:jc w:val="center"/>
              <w:rPr>
                <w:rFonts w:ascii="宋体" w:hAnsi="宋体" w:eastAsia="宋体" w:cs="宋体"/>
                <w:bCs/>
                <w:szCs w:val="21"/>
                <w14:ligatures w14:val="none"/>
              </w:rPr>
            </w:pPr>
            <w:r>
              <w:rPr>
                <w:rFonts w:hint="eastAsia" w:ascii="宋体" w:hAnsi="宋体" w:eastAsia="宋体" w:cs="仿宋"/>
                <w:bCs/>
                <w:szCs w:val="21"/>
                <w14:ligatures w14:val="none"/>
              </w:rPr>
              <w:t>理赔服务方案</w:t>
            </w:r>
          </w:p>
        </w:tc>
        <w:tc>
          <w:tcPr>
            <w:tcW w:w="843" w:type="dxa"/>
            <w:vAlign w:val="center"/>
          </w:tcPr>
          <w:p>
            <w:pPr>
              <w:snapToGrid w:val="0"/>
              <w:jc w:val="center"/>
              <w:rPr>
                <w:rFonts w:ascii="宋体" w:hAnsi="宋体" w:eastAsia="宋体" w:cs="宋体"/>
                <w:bCs/>
                <w:szCs w:val="21"/>
                <w14:ligatures w14:val="none"/>
              </w:rPr>
            </w:pPr>
            <w:r>
              <w:rPr>
                <w:rFonts w:ascii="宋体" w:hAnsi="宋体" w:eastAsia="宋体" w:cs="仿宋"/>
                <w:bCs/>
                <w:szCs w:val="21"/>
                <w14:ligatures w14:val="none"/>
              </w:rPr>
              <w:t>10</w:t>
            </w:r>
          </w:p>
        </w:tc>
        <w:tc>
          <w:tcPr>
            <w:tcW w:w="5978" w:type="dxa"/>
            <w:vAlign w:val="center"/>
          </w:tcPr>
          <w:p>
            <w:pPr>
              <w:snapToGrid w:val="0"/>
              <w:spacing w:line="400" w:lineRule="exact"/>
              <w:rPr>
                <w:rFonts w:ascii="宋体" w:hAnsi="宋体" w:eastAsia="宋体" w:cs="仿宋"/>
                <w:bCs/>
                <w:szCs w:val="21"/>
                <w14:ligatures w14:val="none"/>
              </w:rPr>
            </w:pPr>
            <w:r>
              <w:rPr>
                <w:rFonts w:hint="eastAsia" w:ascii="宋体" w:hAnsi="宋体" w:eastAsia="宋体" w:cs="仿宋"/>
                <w:bCs/>
                <w:szCs w:val="21"/>
                <w14:ligatures w14:val="none"/>
              </w:rPr>
              <w:t>投标人建立车辆受损理赔管理制度。包括理赔程序、受理报案服务、现场查勘、施救措施及伤员抢救、援助服务、援救服务，提供道路交通事故法律援助服务，定损权限，赔付时限服务，出险车辆处理，车辆赔付等服务等内容</w:t>
            </w:r>
          </w:p>
          <w:p>
            <w:pPr>
              <w:snapToGrid w:val="0"/>
              <w:spacing w:line="400" w:lineRule="exact"/>
              <w:rPr>
                <w:rFonts w:ascii="宋体" w:hAnsi="宋体" w:eastAsia="宋体" w:cs="仿宋"/>
                <w:bCs/>
                <w:szCs w:val="21"/>
                <w14:ligatures w14:val="none"/>
              </w:rPr>
            </w:pPr>
            <w:r>
              <w:rPr>
                <w:rFonts w:hint="eastAsia" w:ascii="宋体" w:hAnsi="宋体" w:eastAsia="宋体" w:cs="仿宋"/>
                <w:bCs/>
                <w:szCs w:val="21"/>
                <w14:ligatures w14:val="none"/>
              </w:rPr>
              <w:t>第一档，科学合理，内容详细，得</w:t>
            </w:r>
            <w:r>
              <w:rPr>
                <w:rFonts w:ascii="宋体" w:hAnsi="宋体" w:eastAsia="宋体" w:cs="仿宋"/>
                <w:bCs/>
                <w:szCs w:val="21"/>
                <w14:ligatures w14:val="none"/>
              </w:rPr>
              <w:t>8</w:t>
            </w:r>
            <w:r>
              <w:rPr>
                <w:rFonts w:hint="eastAsia" w:ascii="宋体" w:hAnsi="宋体" w:eastAsia="宋体" w:cs="仿宋"/>
                <w:bCs/>
                <w:szCs w:val="21"/>
                <w14:ligatures w14:val="none"/>
              </w:rPr>
              <w:t>-</w:t>
            </w:r>
            <w:r>
              <w:rPr>
                <w:rFonts w:ascii="宋体" w:hAnsi="宋体" w:eastAsia="宋体" w:cs="仿宋"/>
                <w:bCs/>
                <w:szCs w:val="21"/>
                <w14:ligatures w14:val="none"/>
              </w:rPr>
              <w:t>10</w:t>
            </w:r>
            <w:r>
              <w:rPr>
                <w:rFonts w:hint="eastAsia" w:ascii="宋体" w:hAnsi="宋体" w:eastAsia="宋体" w:cs="仿宋"/>
                <w:bCs/>
                <w:szCs w:val="21"/>
                <w14:ligatures w14:val="none"/>
              </w:rPr>
              <w:t>分；</w:t>
            </w:r>
          </w:p>
          <w:p>
            <w:pPr>
              <w:snapToGrid w:val="0"/>
              <w:spacing w:line="400" w:lineRule="exact"/>
              <w:rPr>
                <w:rFonts w:ascii="宋体" w:hAnsi="宋体" w:eastAsia="宋体" w:cs="仿宋"/>
                <w:bCs/>
                <w:szCs w:val="21"/>
                <w14:ligatures w14:val="none"/>
              </w:rPr>
            </w:pPr>
            <w:r>
              <w:rPr>
                <w:rFonts w:hint="eastAsia" w:ascii="宋体" w:hAnsi="宋体" w:eastAsia="宋体" w:cs="仿宋"/>
                <w:bCs/>
                <w:szCs w:val="21"/>
                <w14:ligatures w14:val="none"/>
              </w:rPr>
              <w:t>第二档，较科学合理，内容较详细，得</w:t>
            </w:r>
            <w:r>
              <w:rPr>
                <w:rFonts w:ascii="宋体" w:hAnsi="宋体" w:eastAsia="宋体" w:cs="仿宋"/>
                <w:bCs/>
                <w:szCs w:val="21"/>
                <w14:ligatures w14:val="none"/>
              </w:rPr>
              <w:t>6</w:t>
            </w:r>
            <w:r>
              <w:rPr>
                <w:rFonts w:hint="eastAsia" w:ascii="宋体" w:hAnsi="宋体" w:eastAsia="宋体" w:cs="仿宋"/>
                <w:bCs/>
                <w:szCs w:val="21"/>
                <w14:ligatures w14:val="none"/>
              </w:rPr>
              <w:t>-</w:t>
            </w:r>
            <w:r>
              <w:rPr>
                <w:rFonts w:ascii="宋体" w:hAnsi="宋体" w:eastAsia="宋体" w:cs="仿宋"/>
                <w:bCs/>
                <w:szCs w:val="21"/>
                <w14:ligatures w14:val="none"/>
              </w:rPr>
              <w:t>8</w:t>
            </w:r>
            <w:r>
              <w:rPr>
                <w:rFonts w:hint="eastAsia" w:ascii="宋体" w:hAnsi="宋体" w:eastAsia="宋体" w:cs="仿宋"/>
                <w:bCs/>
                <w:szCs w:val="21"/>
                <w14:ligatures w14:val="none"/>
              </w:rPr>
              <w:t>分；</w:t>
            </w:r>
          </w:p>
          <w:p>
            <w:pPr>
              <w:snapToGrid w:val="0"/>
              <w:rPr>
                <w:rFonts w:ascii="宋体" w:hAnsi="宋体" w:eastAsia="宋体" w:cs="Times New Roman"/>
                <w:szCs w:val="21"/>
                <w14:ligatures w14:val="none"/>
              </w:rPr>
            </w:pPr>
            <w:r>
              <w:rPr>
                <w:rFonts w:hint="eastAsia" w:ascii="宋体" w:hAnsi="宋体" w:eastAsia="宋体" w:cs="仿宋"/>
                <w:bCs/>
                <w:szCs w:val="21"/>
                <w14:ligatures w14:val="none"/>
              </w:rPr>
              <w:t>第三档，基本合理，内容简单，得</w:t>
            </w:r>
            <w:r>
              <w:rPr>
                <w:rFonts w:ascii="宋体" w:hAnsi="宋体" w:eastAsia="宋体" w:cs="仿宋"/>
                <w:bCs/>
                <w:szCs w:val="21"/>
                <w14:ligatures w14:val="none"/>
              </w:rPr>
              <w:t>6</w:t>
            </w:r>
            <w:r>
              <w:rPr>
                <w:rFonts w:hint="eastAsia" w:ascii="宋体" w:hAnsi="宋体" w:eastAsia="宋体" w:cs="仿宋"/>
                <w:bCs/>
                <w:szCs w:val="21"/>
                <w14:ligatures w14:val="none"/>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415"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14:ligatures w14:val="none"/>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14:ligatures w14:val="none"/>
              </w:rPr>
            </w:pPr>
          </w:p>
        </w:tc>
        <w:tc>
          <w:tcPr>
            <w:tcW w:w="1124" w:type="dxa"/>
            <w:tcBorders>
              <w:left w:val="single" w:color="auto" w:sz="2" w:space="0"/>
            </w:tcBorders>
            <w:vAlign w:val="center"/>
          </w:tcPr>
          <w:p>
            <w:pPr>
              <w:snapToGrid w:val="0"/>
              <w:jc w:val="center"/>
              <w:rPr>
                <w:rFonts w:ascii="宋体" w:hAnsi="宋体" w:eastAsia="宋体" w:cs="仿宋"/>
                <w:bCs/>
                <w:szCs w:val="21"/>
                <w14:ligatures w14:val="none"/>
              </w:rPr>
            </w:pPr>
            <w:r>
              <w:rPr>
                <w:rFonts w:hint="eastAsia" w:ascii="宋体" w:hAnsi="宋体" w:eastAsia="宋体" w:cs="仿宋"/>
                <w:bCs/>
                <w:szCs w:val="21"/>
                <w14:ligatures w14:val="none"/>
              </w:rPr>
              <w:t>人员配置及服务团队</w:t>
            </w:r>
          </w:p>
        </w:tc>
        <w:tc>
          <w:tcPr>
            <w:tcW w:w="843" w:type="dxa"/>
            <w:vAlign w:val="center"/>
          </w:tcPr>
          <w:p>
            <w:pPr>
              <w:snapToGrid w:val="0"/>
              <w:jc w:val="center"/>
              <w:rPr>
                <w:rFonts w:ascii="宋体" w:hAnsi="宋体" w:eastAsia="宋体" w:cs="仿宋"/>
                <w:bCs/>
                <w:szCs w:val="21"/>
                <w14:ligatures w14:val="none"/>
              </w:rPr>
            </w:pPr>
            <w:r>
              <w:rPr>
                <w:rFonts w:ascii="宋体" w:hAnsi="宋体" w:eastAsia="宋体" w:cs="仿宋"/>
                <w:bCs/>
                <w:szCs w:val="21"/>
                <w14:ligatures w14:val="none"/>
              </w:rPr>
              <w:t>10</w:t>
            </w:r>
          </w:p>
        </w:tc>
        <w:tc>
          <w:tcPr>
            <w:tcW w:w="5978" w:type="dxa"/>
            <w:vAlign w:val="center"/>
          </w:tcPr>
          <w:p>
            <w:pPr>
              <w:snapToGrid w:val="0"/>
              <w:spacing w:line="400" w:lineRule="exact"/>
              <w:rPr>
                <w:rFonts w:ascii="宋体" w:hAnsi="宋体" w:eastAsia="宋体" w:cs="仿宋"/>
                <w:bCs/>
                <w:szCs w:val="21"/>
                <w14:ligatures w14:val="none"/>
              </w:rPr>
            </w:pPr>
            <w:r>
              <w:rPr>
                <w:rFonts w:hint="eastAsia" w:ascii="宋体" w:hAnsi="宋体" w:eastAsia="宋体" w:cs="仿宋"/>
                <w:bCs/>
                <w:szCs w:val="21"/>
                <w14:ligatures w14:val="none"/>
              </w:rPr>
              <w:t>根据投标人项目实施团队的组织机构和人员配备优劣进行比较打分：</w:t>
            </w:r>
          </w:p>
          <w:p>
            <w:pPr>
              <w:snapToGrid w:val="0"/>
              <w:spacing w:line="400" w:lineRule="exact"/>
              <w:rPr>
                <w:rFonts w:ascii="宋体" w:hAnsi="宋体" w:eastAsia="宋体" w:cs="仿宋"/>
                <w:bCs/>
                <w:szCs w:val="21"/>
                <w14:ligatures w14:val="none"/>
              </w:rPr>
            </w:pPr>
            <w:r>
              <w:rPr>
                <w:rFonts w:hint="eastAsia" w:ascii="宋体" w:hAnsi="宋体" w:eastAsia="宋体" w:cs="仿宋"/>
                <w:bCs/>
                <w:szCs w:val="21"/>
                <w14:ligatures w14:val="none"/>
              </w:rPr>
              <w:t>第一档，组织管理机构完善、合理，团队人员构成专业性强、经验丰富符合项目特点的，得</w:t>
            </w:r>
            <w:r>
              <w:rPr>
                <w:rFonts w:ascii="宋体" w:hAnsi="宋体" w:eastAsia="宋体" w:cs="仿宋"/>
                <w:bCs/>
                <w:szCs w:val="21"/>
                <w14:ligatures w14:val="none"/>
              </w:rPr>
              <w:t>8</w:t>
            </w:r>
            <w:r>
              <w:rPr>
                <w:rFonts w:hint="eastAsia" w:ascii="宋体" w:hAnsi="宋体" w:eastAsia="宋体" w:cs="仿宋"/>
                <w:bCs/>
                <w:szCs w:val="21"/>
                <w14:ligatures w14:val="none"/>
              </w:rPr>
              <w:t>-</w:t>
            </w:r>
            <w:r>
              <w:rPr>
                <w:rFonts w:ascii="宋体" w:hAnsi="宋体" w:eastAsia="宋体" w:cs="仿宋"/>
                <w:bCs/>
                <w:szCs w:val="21"/>
                <w14:ligatures w14:val="none"/>
              </w:rPr>
              <w:t>10</w:t>
            </w:r>
            <w:r>
              <w:rPr>
                <w:rFonts w:hint="eastAsia" w:ascii="宋体" w:hAnsi="宋体" w:eastAsia="宋体" w:cs="仿宋"/>
                <w:bCs/>
                <w:szCs w:val="21"/>
                <w14:ligatures w14:val="none"/>
              </w:rPr>
              <w:t>分；</w:t>
            </w:r>
          </w:p>
          <w:p>
            <w:pPr>
              <w:snapToGrid w:val="0"/>
              <w:spacing w:line="400" w:lineRule="exact"/>
              <w:rPr>
                <w:rFonts w:ascii="宋体" w:hAnsi="宋体" w:eastAsia="宋体" w:cs="仿宋"/>
                <w:bCs/>
                <w:szCs w:val="21"/>
                <w14:ligatures w14:val="none"/>
              </w:rPr>
            </w:pPr>
            <w:r>
              <w:rPr>
                <w:rFonts w:hint="eastAsia" w:ascii="宋体" w:hAnsi="宋体" w:eastAsia="宋体" w:cs="仿宋"/>
                <w:bCs/>
                <w:szCs w:val="21"/>
                <w14:ligatures w14:val="none"/>
              </w:rPr>
              <w:t>第二档，组织管理机构健全、合理，团队人员构成和专业性较好，相关经验较丰富，符合项目需求的，得</w:t>
            </w:r>
            <w:r>
              <w:rPr>
                <w:rFonts w:ascii="宋体" w:hAnsi="宋体" w:eastAsia="宋体" w:cs="仿宋"/>
                <w:bCs/>
                <w:szCs w:val="21"/>
                <w14:ligatures w14:val="none"/>
              </w:rPr>
              <w:t>6</w:t>
            </w:r>
            <w:r>
              <w:rPr>
                <w:rFonts w:hint="eastAsia" w:ascii="宋体" w:hAnsi="宋体" w:eastAsia="宋体" w:cs="仿宋"/>
                <w:bCs/>
                <w:szCs w:val="21"/>
                <w14:ligatures w14:val="none"/>
              </w:rPr>
              <w:t xml:space="preserve">-8分； </w:t>
            </w:r>
          </w:p>
          <w:p>
            <w:pPr>
              <w:snapToGrid w:val="0"/>
              <w:spacing w:line="400" w:lineRule="exact"/>
              <w:rPr>
                <w:rFonts w:ascii="宋体" w:hAnsi="宋体" w:eastAsia="宋体" w:cs="Times New Roman"/>
                <w:szCs w:val="21"/>
                <w14:ligatures w14:val="none"/>
              </w:rPr>
            </w:pPr>
            <w:r>
              <w:rPr>
                <w:rFonts w:hint="eastAsia" w:ascii="宋体" w:hAnsi="宋体" w:eastAsia="宋体" w:cs="仿宋"/>
                <w:bCs/>
                <w:szCs w:val="21"/>
                <w14:ligatures w14:val="none"/>
              </w:rPr>
              <w:t>第三档，组织管理机构和人员构成基本合理，专业性和相关经验有欠缺或低于其他档次投标人，得</w:t>
            </w:r>
            <w:r>
              <w:rPr>
                <w:rFonts w:ascii="宋体" w:hAnsi="宋体" w:eastAsia="宋体" w:cs="仿宋"/>
                <w:bCs/>
                <w:szCs w:val="21"/>
                <w14:ligatures w14:val="none"/>
              </w:rPr>
              <w:t>6</w:t>
            </w:r>
            <w:r>
              <w:rPr>
                <w:rFonts w:hint="eastAsia" w:ascii="宋体" w:hAnsi="宋体" w:eastAsia="宋体" w:cs="仿宋"/>
                <w:bCs/>
                <w:szCs w:val="21"/>
                <w14:ligatures w14:val="none"/>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2259"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14:ligatures w14:val="none"/>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14:ligatures w14:val="none"/>
              </w:rPr>
            </w:pPr>
          </w:p>
        </w:tc>
        <w:tc>
          <w:tcPr>
            <w:tcW w:w="1124" w:type="dxa"/>
            <w:tcBorders>
              <w:left w:val="single" w:color="auto" w:sz="2" w:space="0"/>
            </w:tcBorders>
            <w:vAlign w:val="center"/>
          </w:tcPr>
          <w:p>
            <w:pPr>
              <w:snapToGrid w:val="0"/>
              <w:jc w:val="center"/>
              <w:rPr>
                <w:rFonts w:ascii="宋体" w:hAnsi="宋体" w:eastAsia="宋体" w:cs="仿宋"/>
                <w:bCs/>
                <w:szCs w:val="21"/>
                <w14:ligatures w14:val="none"/>
              </w:rPr>
            </w:pPr>
            <w:r>
              <w:rPr>
                <w:rFonts w:hint="eastAsia" w:ascii="宋体" w:hAnsi="宋体" w:eastAsia="宋体" w:cs="仿宋"/>
                <w:bCs/>
                <w:szCs w:val="21"/>
                <w14:ligatures w14:val="none"/>
              </w:rPr>
              <w:t>后续服务、增值服务承诺</w:t>
            </w:r>
          </w:p>
        </w:tc>
        <w:tc>
          <w:tcPr>
            <w:tcW w:w="843" w:type="dxa"/>
            <w:vAlign w:val="center"/>
          </w:tcPr>
          <w:p>
            <w:pPr>
              <w:snapToGrid w:val="0"/>
              <w:jc w:val="center"/>
              <w:rPr>
                <w:rFonts w:ascii="宋体" w:hAnsi="宋体" w:eastAsia="宋体" w:cs="仿宋"/>
                <w:bCs/>
                <w:szCs w:val="21"/>
                <w14:ligatures w14:val="none"/>
              </w:rPr>
            </w:pPr>
            <w:r>
              <w:rPr>
                <w:rFonts w:hint="eastAsia" w:ascii="宋体" w:hAnsi="宋体" w:eastAsia="宋体" w:cs="仿宋"/>
                <w:bCs/>
                <w:szCs w:val="21"/>
                <w14:ligatures w14:val="none"/>
              </w:rPr>
              <w:t>10</w:t>
            </w:r>
          </w:p>
        </w:tc>
        <w:tc>
          <w:tcPr>
            <w:tcW w:w="5978" w:type="dxa"/>
            <w:vAlign w:val="center"/>
          </w:tcPr>
          <w:p>
            <w:pPr>
              <w:snapToGrid w:val="0"/>
              <w:spacing w:line="400" w:lineRule="exact"/>
              <w:rPr>
                <w:rFonts w:ascii="宋体" w:hAnsi="宋体" w:eastAsia="宋体" w:cs="仿宋"/>
                <w:bCs/>
                <w:szCs w:val="21"/>
                <w14:ligatures w14:val="none"/>
              </w:rPr>
            </w:pPr>
            <w:r>
              <w:rPr>
                <w:rFonts w:hint="eastAsia" w:ascii="宋体" w:hAnsi="宋体" w:eastAsia="宋体" w:cs="仿宋"/>
                <w:bCs/>
                <w:szCs w:val="21"/>
                <w14:ligatures w14:val="none"/>
              </w:rPr>
              <w:t>根据投标人提供的后续服务、增值服务的合理性与可行性酌情打分</w:t>
            </w:r>
          </w:p>
          <w:p>
            <w:pPr>
              <w:snapToGrid w:val="0"/>
              <w:spacing w:line="400" w:lineRule="exact"/>
              <w:rPr>
                <w:rFonts w:ascii="宋体" w:hAnsi="宋体" w:eastAsia="宋体" w:cs="仿宋"/>
                <w:bCs/>
                <w:szCs w:val="21"/>
                <w14:ligatures w14:val="none"/>
              </w:rPr>
            </w:pPr>
            <w:r>
              <w:rPr>
                <w:rFonts w:hint="eastAsia" w:ascii="宋体" w:hAnsi="宋体" w:eastAsia="宋体" w:cs="仿宋"/>
                <w:bCs/>
                <w:szCs w:val="21"/>
                <w14:ligatures w14:val="none"/>
              </w:rPr>
              <w:t>第一档，科学合理，内容详细，得</w:t>
            </w:r>
            <w:r>
              <w:rPr>
                <w:rFonts w:ascii="宋体" w:hAnsi="宋体" w:eastAsia="宋体" w:cs="仿宋"/>
                <w:bCs/>
                <w:szCs w:val="21"/>
                <w14:ligatures w14:val="none"/>
              </w:rPr>
              <w:t>8</w:t>
            </w:r>
            <w:r>
              <w:rPr>
                <w:rFonts w:hint="eastAsia" w:ascii="宋体" w:hAnsi="宋体" w:eastAsia="宋体" w:cs="仿宋"/>
                <w:bCs/>
                <w:szCs w:val="21"/>
                <w14:ligatures w14:val="none"/>
              </w:rPr>
              <w:t>-10分；</w:t>
            </w:r>
          </w:p>
          <w:p>
            <w:pPr>
              <w:snapToGrid w:val="0"/>
              <w:spacing w:line="400" w:lineRule="exact"/>
              <w:rPr>
                <w:rFonts w:ascii="宋体" w:hAnsi="宋体" w:eastAsia="宋体" w:cs="仿宋"/>
                <w:bCs/>
                <w:szCs w:val="21"/>
                <w14:ligatures w14:val="none"/>
              </w:rPr>
            </w:pPr>
            <w:r>
              <w:rPr>
                <w:rFonts w:hint="eastAsia" w:ascii="宋体" w:hAnsi="宋体" w:eastAsia="宋体" w:cs="仿宋"/>
                <w:bCs/>
                <w:szCs w:val="21"/>
                <w14:ligatures w14:val="none"/>
              </w:rPr>
              <w:t>第二档，较科学合理，内容较详细，得</w:t>
            </w:r>
            <w:r>
              <w:rPr>
                <w:rFonts w:ascii="宋体" w:hAnsi="宋体" w:eastAsia="宋体" w:cs="仿宋"/>
                <w:bCs/>
                <w:szCs w:val="21"/>
                <w14:ligatures w14:val="none"/>
              </w:rPr>
              <w:t>6</w:t>
            </w:r>
            <w:r>
              <w:rPr>
                <w:rFonts w:hint="eastAsia" w:ascii="宋体" w:hAnsi="宋体" w:eastAsia="宋体" w:cs="仿宋"/>
                <w:bCs/>
                <w:szCs w:val="21"/>
                <w14:ligatures w14:val="none"/>
              </w:rPr>
              <w:t>-</w:t>
            </w:r>
            <w:r>
              <w:rPr>
                <w:rFonts w:ascii="宋体" w:hAnsi="宋体" w:eastAsia="宋体" w:cs="仿宋"/>
                <w:bCs/>
                <w:szCs w:val="21"/>
                <w14:ligatures w14:val="none"/>
              </w:rPr>
              <w:t>8</w:t>
            </w:r>
            <w:r>
              <w:rPr>
                <w:rFonts w:hint="eastAsia" w:ascii="宋体" w:hAnsi="宋体" w:eastAsia="宋体" w:cs="仿宋"/>
                <w:bCs/>
                <w:szCs w:val="21"/>
                <w14:ligatures w14:val="none"/>
              </w:rPr>
              <w:t>分；</w:t>
            </w:r>
          </w:p>
          <w:p>
            <w:pPr>
              <w:snapToGrid w:val="0"/>
              <w:spacing w:line="400" w:lineRule="exact"/>
              <w:rPr>
                <w:rFonts w:ascii="宋体" w:hAnsi="宋体" w:eastAsia="宋体" w:cs="Times New Roman"/>
                <w:szCs w:val="21"/>
                <w14:ligatures w14:val="none"/>
              </w:rPr>
            </w:pPr>
            <w:r>
              <w:rPr>
                <w:rFonts w:hint="eastAsia" w:ascii="宋体" w:hAnsi="宋体" w:eastAsia="宋体" w:cs="仿宋"/>
                <w:bCs/>
                <w:szCs w:val="21"/>
                <w14:ligatures w14:val="none"/>
              </w:rPr>
              <w:t>第三档，基本合理，内容简单，得6分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pPr>
              <w:jc w:val="center"/>
              <w:rPr>
                <w:rFonts w:ascii="宋体" w:hAnsi="宋体" w:eastAsia="宋体" w:cs="宋体"/>
                <w:bCs/>
                <w:szCs w:val="21"/>
                <w14:ligatures w14:val="none"/>
              </w:rPr>
            </w:pPr>
            <w:r>
              <w:rPr>
                <w:rFonts w:ascii="宋体" w:hAnsi="宋体" w:eastAsia="宋体" w:cs="宋体"/>
                <w:bCs/>
                <w:w w:val="90"/>
                <w:szCs w:val="21"/>
                <w14:ligatures w14:val="none"/>
              </w:rPr>
              <w:t>2.2.4</w:t>
            </w:r>
            <w:r>
              <w:rPr>
                <w:rFonts w:hint="eastAsia" w:ascii="宋体" w:hAnsi="宋体" w:eastAsia="宋体" w:cs="宋体"/>
                <w:bCs/>
                <w:w w:val="90"/>
                <w:szCs w:val="21"/>
                <w14:ligatures w14:val="none"/>
              </w:rPr>
              <w:t>（</w:t>
            </w:r>
            <w:r>
              <w:rPr>
                <w:rFonts w:ascii="宋体" w:hAnsi="宋体" w:eastAsia="宋体" w:cs="宋体"/>
                <w:bCs/>
                <w:w w:val="90"/>
                <w:szCs w:val="21"/>
                <w14:ligatures w14:val="none"/>
              </w:rPr>
              <w:t>3</w:t>
            </w:r>
            <w:r>
              <w:rPr>
                <w:rFonts w:hint="eastAsia" w:ascii="宋体" w:hAnsi="宋体" w:eastAsia="宋体" w:cs="宋体"/>
                <w:bCs/>
                <w:w w:val="90"/>
                <w:szCs w:val="21"/>
                <w14:ligatures w14:val="none"/>
              </w:rPr>
              <w:t>）</w:t>
            </w:r>
          </w:p>
        </w:tc>
        <w:tc>
          <w:tcPr>
            <w:tcW w:w="2154" w:type="dxa"/>
            <w:gridSpan w:val="2"/>
            <w:tcBorders>
              <w:left w:val="single" w:color="auto" w:sz="2" w:space="0"/>
            </w:tcBorders>
            <w:vAlign w:val="center"/>
          </w:tcPr>
          <w:p>
            <w:pPr>
              <w:jc w:val="center"/>
              <w:rPr>
                <w:rFonts w:ascii="宋体" w:hAnsi="宋体" w:eastAsia="宋体" w:cs="宋体"/>
                <w:bCs/>
                <w:szCs w:val="21"/>
                <w14:ligatures w14:val="none"/>
              </w:rPr>
            </w:pPr>
            <w:r>
              <w:rPr>
                <w:rFonts w:hint="eastAsia" w:ascii="宋体" w:hAnsi="宋体" w:eastAsia="宋体" w:cs="宋体"/>
                <w:bCs/>
                <w:szCs w:val="21"/>
                <w14:ligatures w14:val="none"/>
              </w:rPr>
              <w:t>评标价</w:t>
            </w:r>
          </w:p>
        </w:tc>
        <w:tc>
          <w:tcPr>
            <w:tcW w:w="843" w:type="dxa"/>
            <w:vAlign w:val="center"/>
          </w:tcPr>
          <w:p>
            <w:pPr>
              <w:jc w:val="center"/>
              <w:rPr>
                <w:rFonts w:ascii="宋体" w:hAnsi="宋体" w:eastAsia="宋体" w:cs="宋体"/>
                <w:bCs/>
                <w:szCs w:val="21"/>
                <w14:ligatures w14:val="none"/>
              </w:rPr>
            </w:pPr>
            <w:r>
              <w:rPr>
                <w:rFonts w:ascii="宋体" w:hAnsi="宋体" w:eastAsia="宋体" w:cs="宋体"/>
                <w:bCs/>
                <w:szCs w:val="21"/>
                <w14:ligatures w14:val="none"/>
              </w:rPr>
              <w:t>30</w:t>
            </w:r>
            <w:r>
              <w:rPr>
                <w:rFonts w:hint="eastAsia" w:ascii="宋体" w:hAnsi="宋体" w:eastAsia="宋体" w:cs="宋体"/>
                <w:bCs/>
                <w:szCs w:val="21"/>
                <w14:ligatures w14:val="none"/>
              </w:rPr>
              <w:t>分</w:t>
            </w:r>
          </w:p>
        </w:tc>
        <w:tc>
          <w:tcPr>
            <w:tcW w:w="5978" w:type="dxa"/>
            <w:vAlign w:val="center"/>
          </w:tcPr>
          <w:p>
            <w:pPr>
              <w:rPr>
                <w:rFonts w:ascii="宋体" w:hAnsi="宋体" w:eastAsia="宋体" w:cs="Times New Roman"/>
                <w:szCs w:val="21"/>
                <w14:ligatures w14:val="none"/>
              </w:rPr>
            </w:pPr>
            <w:r>
              <w:rPr>
                <w:rFonts w:hint="eastAsia" w:ascii="宋体" w:hAnsi="宋体" w:eastAsia="宋体" w:cs="Times New Roman"/>
                <w:szCs w:val="21"/>
                <w14:ligatures w14:val="none"/>
              </w:rPr>
              <w:t>评标价得分计算公式示例：</w:t>
            </w:r>
          </w:p>
          <w:p>
            <w:pPr>
              <w:ind w:firstLine="243" w:firstLineChars="116"/>
              <w:rPr>
                <w:rFonts w:ascii="宋体" w:hAnsi="宋体" w:eastAsia="宋体" w:cs="Times New Roman"/>
                <w:szCs w:val="21"/>
                <w14:ligatures w14:val="none"/>
              </w:rPr>
            </w:pPr>
            <w:r>
              <w:rPr>
                <w:rFonts w:hint="eastAsia" w:ascii="宋体" w:hAnsi="宋体" w:eastAsia="宋体" w:cs="Times New Roman"/>
                <w:szCs w:val="21"/>
                <w14:ligatures w14:val="none"/>
              </w:rPr>
              <w:t>（1）如果投标人的评标价＞评标基准价，则评标价得分=F-（投标人评标价-评标基准价）/评标基准价×100×E1；</w:t>
            </w:r>
          </w:p>
          <w:p>
            <w:pPr>
              <w:ind w:firstLine="243" w:firstLineChars="116"/>
              <w:rPr>
                <w:rFonts w:ascii="宋体" w:hAnsi="宋体" w:eastAsia="宋体" w:cs="Times New Roman"/>
                <w:szCs w:val="21"/>
                <w14:ligatures w14:val="none"/>
              </w:rPr>
            </w:pPr>
            <w:r>
              <w:rPr>
                <w:rFonts w:hint="eastAsia" w:ascii="宋体" w:hAnsi="宋体" w:eastAsia="宋体" w:cs="Times New Roman"/>
                <w:szCs w:val="21"/>
                <w14:ligatures w14:val="none"/>
              </w:rPr>
              <w:t>（2）如果投标人的评标价≤评标基准价，则评标价得分=F+(投标人评标价-评标基准价)/评标基准价×100×E2。</w:t>
            </w:r>
          </w:p>
          <w:p>
            <w:pPr>
              <w:ind w:firstLine="243" w:firstLineChars="116"/>
              <w:rPr>
                <w:rFonts w:ascii="宋体" w:hAnsi="宋体" w:eastAsia="宋体" w:cs="Times New Roman"/>
                <w:szCs w:val="21"/>
                <w14:ligatures w14:val="none"/>
              </w:rPr>
            </w:pPr>
            <w:r>
              <w:rPr>
                <w:rFonts w:hint="eastAsia" w:ascii="宋体" w:hAnsi="宋体" w:eastAsia="宋体" w:cs="Times New Roman"/>
                <w:szCs w:val="21"/>
                <w14:ligatures w14:val="none"/>
              </w:rPr>
              <w:t>其中，F=</w:t>
            </w:r>
            <w:r>
              <w:rPr>
                <w:rFonts w:ascii="宋体" w:hAnsi="宋体" w:eastAsia="宋体" w:cs="Times New Roman"/>
                <w:szCs w:val="21"/>
                <w14:ligatures w14:val="none"/>
              </w:rPr>
              <w:t>3</w:t>
            </w:r>
            <w:r>
              <w:rPr>
                <w:rFonts w:hint="eastAsia" w:ascii="宋体" w:hAnsi="宋体" w:eastAsia="宋体" w:cs="Times New Roman"/>
                <w:szCs w:val="21"/>
                <w14:ligatures w14:val="none"/>
              </w:rPr>
              <w:t>0；E1=0.</w:t>
            </w:r>
            <w:r>
              <w:rPr>
                <w:rFonts w:ascii="宋体" w:hAnsi="宋体" w:eastAsia="宋体" w:cs="Times New Roman"/>
                <w:szCs w:val="21"/>
                <w14:ligatures w14:val="none"/>
              </w:rPr>
              <w:t>2</w:t>
            </w:r>
            <w:r>
              <w:rPr>
                <w:rFonts w:hint="eastAsia" w:ascii="宋体" w:hAnsi="宋体" w:eastAsia="宋体" w:cs="Times New Roman"/>
                <w:szCs w:val="21"/>
                <w14:ligatures w14:val="none"/>
              </w:rPr>
              <w:t>；E2=0.</w:t>
            </w:r>
            <w:r>
              <w:rPr>
                <w:rFonts w:ascii="宋体" w:hAnsi="宋体" w:eastAsia="宋体" w:cs="Times New Roman"/>
                <w:szCs w:val="21"/>
                <w14:ligatures w14:val="none"/>
              </w:rPr>
              <w:t>1</w:t>
            </w:r>
            <w:r>
              <w:rPr>
                <w:rFonts w:hint="eastAsia" w:ascii="宋体" w:hAnsi="宋体" w:eastAsia="宋体" w:cs="Times New Roman"/>
                <w:szCs w:val="21"/>
                <w14:ligatures w14:val="none"/>
              </w:rPr>
              <w:t>。</w:t>
            </w:r>
          </w:p>
          <w:p>
            <w:pPr>
              <w:ind w:firstLine="243" w:firstLineChars="116"/>
              <w:rPr>
                <w:rFonts w:ascii="Times New Roman" w:hAnsi="Times New Roman" w:eastAsia="宋体" w:cs="Times New Roman"/>
                <w14:ligatures w14:val="none"/>
              </w:rPr>
            </w:pPr>
            <w:r>
              <w:rPr>
                <w:rFonts w:hint="eastAsia" w:ascii="宋体" w:hAnsi="宋体" w:eastAsia="宋体" w:cs="Times New Roman"/>
                <w:szCs w:val="21"/>
                <w14:ligatures w14:val="none"/>
              </w:rPr>
              <w:t>评标价最低得分为0分，评标价得分保留两位小数，第三位四舍五入。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pPr>
              <w:jc w:val="center"/>
              <w:rPr>
                <w:rFonts w:ascii="宋体" w:hAnsi="宋体" w:eastAsia="宋体" w:cs="宋体"/>
                <w:bCs/>
                <w:szCs w:val="21"/>
                <w14:ligatures w14:val="none"/>
              </w:rPr>
            </w:pPr>
            <w:r>
              <w:rPr>
                <w:rFonts w:hint="eastAsia" w:ascii="宋体" w:hAnsi="宋体" w:eastAsia="宋体" w:cs="宋体"/>
                <w:bCs/>
                <w:szCs w:val="21"/>
                <w14:ligatures w14:val="none"/>
              </w:rPr>
              <w:t>合计</w:t>
            </w:r>
          </w:p>
        </w:tc>
        <w:tc>
          <w:tcPr>
            <w:tcW w:w="843" w:type="dxa"/>
            <w:vAlign w:val="center"/>
          </w:tcPr>
          <w:p>
            <w:pPr>
              <w:jc w:val="center"/>
              <w:rPr>
                <w:rFonts w:ascii="宋体" w:hAnsi="宋体" w:eastAsia="宋体" w:cs="宋体"/>
                <w:bCs/>
                <w:szCs w:val="21"/>
                <w14:ligatures w14:val="none"/>
              </w:rPr>
            </w:pPr>
            <w:r>
              <w:rPr>
                <w:rFonts w:ascii="宋体" w:hAnsi="宋体" w:eastAsia="宋体" w:cs="宋体"/>
                <w:bCs/>
                <w:szCs w:val="21"/>
                <w14:ligatures w14:val="none"/>
              </w:rPr>
              <w:t>100</w:t>
            </w:r>
            <w:r>
              <w:rPr>
                <w:rFonts w:hint="eastAsia" w:ascii="宋体" w:hAnsi="宋体" w:eastAsia="宋体" w:cs="宋体"/>
                <w:bCs/>
                <w:szCs w:val="21"/>
                <w14:ligatures w14:val="none"/>
              </w:rPr>
              <w:t>分</w:t>
            </w:r>
          </w:p>
        </w:tc>
        <w:tc>
          <w:tcPr>
            <w:tcW w:w="5978" w:type="dxa"/>
            <w:vAlign w:val="center"/>
          </w:tcPr>
          <w:p>
            <w:pPr>
              <w:jc w:val="center"/>
              <w:rPr>
                <w:rFonts w:ascii="宋体" w:hAnsi="宋体" w:eastAsia="宋体" w:cs="宋体"/>
                <w:bCs/>
                <w:szCs w:val="21"/>
                <w14:ligatures w14:val="none"/>
              </w:rPr>
            </w:pPr>
          </w:p>
        </w:tc>
      </w:tr>
    </w:tbl>
    <w:p>
      <w:pPr>
        <w:spacing w:line="312" w:lineRule="auto"/>
        <w:rPr>
          <w:rFonts w:ascii="宋体" w:hAnsi="宋体" w:eastAsia="宋体" w:cs="Times New Roman"/>
          <w:szCs w:val="21"/>
          <w14:ligatures w14:val="none"/>
        </w:rPr>
      </w:pPr>
      <w:r>
        <w:rPr>
          <w:rFonts w:hint="eastAsia" w:ascii="宋体" w:hAnsi="宋体" w:eastAsia="宋体" w:cs="Times New Roman"/>
          <w:szCs w:val="21"/>
          <w14:ligatures w14:val="none"/>
        </w:rPr>
        <w:t>注：1、各分项得分为各评委打分算术平均值，评委打分平均值保留两位小数，第三位四舍五入。</w:t>
      </w:r>
    </w:p>
    <w:p>
      <w:pPr>
        <w:spacing w:line="312" w:lineRule="auto"/>
        <w:ind w:firstLine="420" w:firstLineChars="200"/>
        <w:rPr>
          <w:rFonts w:ascii="宋体" w:hAnsi="宋体" w:eastAsia="宋体" w:cs="Times New Roman"/>
          <w:sz w:val="20"/>
          <w:szCs w:val="20"/>
          <w14:ligatures w14:val="none"/>
        </w:rPr>
      </w:pPr>
      <w:r>
        <w:rPr>
          <w:rFonts w:hint="eastAsia" w:ascii="宋体" w:hAnsi="宋体" w:eastAsia="宋体" w:cs="Times New Roman"/>
          <w:szCs w:val="21"/>
          <w14:ligatures w14:val="none"/>
        </w:rPr>
        <w:t>2、服务方案缺项则该项得0分。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5NjUyYWRlZTIyMjNjNjI2MGEyZjgxMjBlZDlmNzQifQ=="/>
  </w:docVars>
  <w:rsids>
    <w:rsidRoot w:val="00CE7BDF"/>
    <w:rsid w:val="007A1A49"/>
    <w:rsid w:val="00C133F5"/>
    <w:rsid w:val="00CE7BDF"/>
    <w:rsid w:val="00E05F25"/>
    <w:rsid w:val="2A1F4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807</Words>
  <Characters>4606</Characters>
  <Lines>38</Lines>
  <Paragraphs>10</Paragraphs>
  <TotalTime>2</TotalTime>
  <ScaleCrop>false</ScaleCrop>
  <LinksUpToDate>false</LinksUpToDate>
  <CharactersWithSpaces>5403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2023-11-13T09:13:00Z</dcterms:created>
  <dc:creator>p p</dc:creator>
  <cp:lastModifiedBy>Administrator</cp:lastModifiedBy>
  <dcterms:modified xsi:type="dcterms:W3CDTF">2023-11-14T01:02:29Z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8882E53D34BB48BA98E61F4A4B045281_12</vt:lpwstr>
  </property>
</Properties>
</file>