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仿宋" w:hAnsi="仿宋" w:eastAsia="仿宋" w:cs="仿宋"/>
          <w:b/>
          <w:kern w:val="28"/>
          <w:sz w:val="32"/>
          <w:highlight w:val="none"/>
        </w:rPr>
      </w:pPr>
      <w:r>
        <w:rPr>
          <w:rFonts w:hint="eastAsia" w:ascii="仿宋" w:hAnsi="仿宋" w:eastAsia="仿宋" w:cs="仿宋"/>
          <w:b/>
          <w:kern w:val="28"/>
          <w:sz w:val="32"/>
          <w:highlight w:val="none"/>
        </w:rPr>
        <w:t>附件1： 资格审查条件</w:t>
      </w:r>
    </w:p>
    <w:p>
      <w:pPr>
        <w:adjustRightInd w:val="0"/>
        <w:spacing w:line="400" w:lineRule="exact"/>
        <w:jc w:val="center"/>
        <w:rPr>
          <w:rFonts w:hint="eastAsia" w:ascii="仿宋" w:hAnsi="仿宋" w:eastAsia="仿宋" w:cs="仿宋"/>
          <w:b/>
          <w:kern w:val="28"/>
          <w:sz w:val="32"/>
          <w:szCs w:val="32"/>
          <w:highlight w:val="none"/>
        </w:rPr>
      </w:pPr>
    </w:p>
    <w:p>
      <w:pPr>
        <w:spacing w:line="360" w:lineRule="auto"/>
        <w:jc w:val="center"/>
        <w:rPr>
          <w:rStyle w:val="12"/>
          <w:rFonts w:hint="eastAsia" w:ascii="仿宋" w:hAnsi="仿宋" w:eastAsia="仿宋" w:cs="仿宋"/>
          <w:b/>
          <w:sz w:val="32"/>
          <w:szCs w:val="32"/>
          <w:highlight w:val="none"/>
        </w:rPr>
      </w:pPr>
      <w:r>
        <w:rPr>
          <w:rStyle w:val="12"/>
          <w:rFonts w:hint="eastAsia" w:ascii="仿宋" w:hAnsi="仿宋" w:eastAsia="仿宋" w:cs="仿宋"/>
          <w:b/>
          <w:sz w:val="32"/>
          <w:szCs w:val="32"/>
          <w:highlight w:val="none"/>
        </w:rPr>
        <w:t>附录1  资格审查条件（资质最低条件）</w:t>
      </w: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9322" w:type="dxa"/>
            <w:tcBorders>
              <w:top w:val="single" w:color="auto" w:sz="2" w:space="0"/>
              <w:left w:val="single" w:color="auto" w:sz="2" w:space="0"/>
              <w:bottom w:val="single" w:color="auto" w:sz="6" w:space="0"/>
              <w:right w:val="single" w:color="auto" w:sz="2" w:space="0"/>
            </w:tcBorders>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8"/>
                <w:szCs w:val="28"/>
                <w:highlight w:val="none"/>
              </w:rPr>
              <w:t>资 质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61" w:hRule="atLeast"/>
          <w:jc w:val="center"/>
        </w:trPr>
        <w:tc>
          <w:tcPr>
            <w:tcW w:w="93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378" w:firstLineChars="135"/>
              <w:jc w:val="left"/>
              <w:rPr>
                <w:rFonts w:hint="eastAsia" w:ascii="仿宋" w:hAnsi="仿宋" w:eastAsia="仿宋" w:cs="仿宋"/>
                <w:sz w:val="24"/>
                <w:szCs w:val="24"/>
                <w:highlight w:val="none"/>
              </w:rPr>
            </w:pPr>
            <w:r>
              <w:rPr>
                <w:rFonts w:hint="eastAsia" w:ascii="仿宋" w:hAnsi="仿宋" w:eastAsia="仿宋" w:cs="仿宋"/>
                <w:sz w:val="28"/>
                <w:szCs w:val="28"/>
                <w:highlight w:val="none"/>
              </w:rPr>
              <w:t>具有有效企业营业执照、</w:t>
            </w:r>
            <w:r>
              <w:rPr>
                <w:rFonts w:hint="eastAsia" w:ascii="仿宋" w:hAnsi="仿宋" w:eastAsia="仿宋" w:cs="仿宋"/>
                <w:sz w:val="28"/>
                <w:szCs w:val="28"/>
                <w:highlight w:val="none"/>
                <w:lang w:eastAsia="zh-CN"/>
              </w:rPr>
              <w:t>保险许可证</w:t>
            </w:r>
            <w:r>
              <w:rPr>
                <w:rFonts w:hint="eastAsia" w:ascii="仿宋" w:hAnsi="仿宋" w:eastAsia="仿宋" w:cs="仿宋"/>
                <w:sz w:val="28"/>
                <w:szCs w:val="28"/>
                <w:highlight w:val="none"/>
              </w:rPr>
              <w:t>。</w:t>
            </w:r>
          </w:p>
        </w:tc>
      </w:tr>
    </w:tbl>
    <w:p>
      <w:pPr>
        <w:jc w:val="center"/>
        <w:rPr>
          <w:rStyle w:val="13"/>
          <w:rFonts w:hint="eastAsia" w:ascii="仿宋" w:hAnsi="仿宋" w:eastAsia="仿宋" w:cs="仿宋"/>
          <w:b/>
          <w:sz w:val="32"/>
          <w:szCs w:val="32"/>
          <w:highlight w:val="none"/>
        </w:rPr>
      </w:pPr>
    </w:p>
    <w:p>
      <w:pPr>
        <w:jc w:val="center"/>
        <w:rPr>
          <w:rStyle w:val="13"/>
          <w:rFonts w:hint="eastAsia" w:ascii="仿宋" w:hAnsi="仿宋" w:eastAsia="仿宋" w:cs="仿宋"/>
          <w:b/>
          <w:sz w:val="21"/>
          <w:szCs w:val="21"/>
          <w:highlight w:val="none"/>
        </w:rPr>
      </w:pPr>
      <w:r>
        <w:rPr>
          <w:rStyle w:val="13"/>
          <w:rFonts w:hint="eastAsia" w:ascii="仿宋" w:hAnsi="仿宋" w:eastAsia="仿宋" w:cs="仿宋"/>
          <w:b/>
          <w:sz w:val="32"/>
          <w:szCs w:val="32"/>
          <w:highlight w:val="none"/>
        </w:rPr>
        <w:t>附录2  资格审查条件（</w:t>
      </w:r>
      <w:r>
        <w:rPr>
          <w:rFonts w:hint="eastAsia" w:ascii="仿宋" w:hAnsi="仿宋" w:eastAsia="仿宋" w:cs="仿宋"/>
          <w:b/>
          <w:sz w:val="32"/>
          <w:szCs w:val="28"/>
          <w:highlight w:val="none"/>
        </w:rPr>
        <w:t>业绩最低条件</w:t>
      </w:r>
      <w:r>
        <w:rPr>
          <w:rStyle w:val="13"/>
          <w:rFonts w:hint="eastAsia" w:ascii="仿宋" w:hAnsi="仿宋" w:eastAsia="仿宋" w:cs="仿宋"/>
          <w:b/>
          <w:sz w:val="32"/>
          <w:szCs w:val="32"/>
          <w:highlight w:val="none"/>
        </w:rPr>
        <w:t>）</w:t>
      </w:r>
    </w:p>
    <w:p>
      <w:pPr>
        <w:rPr>
          <w:rFonts w:hint="eastAsia" w:ascii="仿宋" w:hAnsi="仿宋" w:eastAsia="仿宋" w:cs="仿宋"/>
          <w:b/>
          <w:szCs w:val="21"/>
          <w:highlight w:val="none"/>
        </w:rPr>
      </w:pPr>
    </w:p>
    <w:tbl>
      <w:tblPr>
        <w:tblStyle w:val="9"/>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322"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8"/>
                <w:szCs w:val="28"/>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322" w:type="dxa"/>
            <w:noWrap w:val="0"/>
            <w:vAlign w:val="center"/>
          </w:tcPr>
          <w:p>
            <w:pPr>
              <w:widowControl/>
              <w:spacing w:line="360" w:lineRule="auto"/>
              <w:ind w:firstLine="280" w:firstLineChars="100"/>
              <w:jc w:val="left"/>
              <w:rPr>
                <w:rFonts w:hint="eastAsia" w:ascii="仿宋" w:hAnsi="仿宋" w:eastAsia="仿宋" w:cs="仿宋"/>
                <w:sz w:val="24"/>
                <w:szCs w:val="24"/>
                <w:highlight w:val="none"/>
              </w:rPr>
            </w:pPr>
            <w:r>
              <w:rPr>
                <w:rFonts w:hint="eastAsia" w:ascii="仿宋" w:hAnsi="仿宋" w:eastAsia="仿宋" w:cs="仿宋"/>
                <w:sz w:val="28"/>
                <w:szCs w:val="28"/>
                <w:highlight w:val="none"/>
              </w:rPr>
              <w:t>近3年内（20</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年1月1日至今，以合同签订时间为准）至少承担过</w:t>
            </w: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项</w:t>
            </w:r>
            <w:r>
              <w:rPr>
                <w:rFonts w:hint="eastAsia" w:ascii="仿宋" w:hAnsi="仿宋" w:eastAsia="仿宋" w:cs="仿宋"/>
                <w:sz w:val="28"/>
                <w:szCs w:val="28"/>
                <w:highlight w:val="none"/>
                <w:lang w:eastAsia="zh-CN"/>
              </w:rPr>
              <w:t>车辆</w:t>
            </w:r>
            <w:r>
              <w:rPr>
                <w:rFonts w:hint="eastAsia" w:ascii="仿宋" w:hAnsi="仿宋" w:eastAsia="仿宋" w:cs="仿宋"/>
                <w:sz w:val="28"/>
                <w:szCs w:val="28"/>
                <w:highlight w:val="none"/>
              </w:rPr>
              <w:t>责任险</w:t>
            </w:r>
            <w:r>
              <w:rPr>
                <w:rFonts w:hint="eastAsia" w:ascii="仿宋" w:hAnsi="仿宋" w:eastAsia="仿宋" w:cs="仿宋"/>
                <w:sz w:val="28"/>
                <w:szCs w:val="28"/>
                <w:highlight w:val="none"/>
                <w:lang w:eastAsia="zh-CN"/>
              </w:rPr>
              <w:t>（非个人）服务</w:t>
            </w:r>
            <w:r>
              <w:rPr>
                <w:rFonts w:hint="eastAsia" w:ascii="仿宋" w:hAnsi="仿宋" w:eastAsia="仿宋" w:cs="仿宋"/>
                <w:sz w:val="28"/>
                <w:szCs w:val="28"/>
                <w:highlight w:val="none"/>
              </w:rPr>
              <w:t>业绩。</w:t>
            </w:r>
          </w:p>
        </w:tc>
      </w:tr>
    </w:tbl>
    <w:p>
      <w:pPr>
        <w:jc w:val="center"/>
        <w:rPr>
          <w:rFonts w:hint="eastAsia" w:ascii="仿宋" w:hAnsi="仿宋" w:eastAsia="仿宋" w:cs="仿宋"/>
          <w:b/>
          <w:sz w:val="32"/>
          <w:szCs w:val="28"/>
          <w:highlight w:val="none"/>
        </w:rPr>
      </w:pPr>
      <w:bookmarkStart w:id="0" w:name="_GoBack"/>
      <w:bookmarkEnd w:id="0"/>
    </w:p>
    <w:p>
      <w:pPr>
        <w:spacing w:line="360" w:lineRule="auto"/>
        <w:jc w:val="center"/>
        <w:rPr>
          <w:rFonts w:hint="eastAsia" w:ascii="仿宋" w:hAnsi="仿宋" w:eastAsia="仿宋" w:cs="仿宋"/>
          <w:b/>
          <w:sz w:val="32"/>
          <w:szCs w:val="28"/>
          <w:highlight w:val="none"/>
        </w:rPr>
      </w:pPr>
    </w:p>
    <w:p>
      <w:pPr>
        <w:spacing w:line="360" w:lineRule="auto"/>
        <w:jc w:val="center"/>
        <w:rPr>
          <w:rFonts w:hint="eastAsia" w:ascii="仿宋" w:hAnsi="仿宋" w:eastAsia="仿宋" w:cs="仿宋"/>
          <w:b/>
          <w:sz w:val="32"/>
          <w:szCs w:val="28"/>
          <w:highlight w:val="none"/>
        </w:rPr>
      </w:pPr>
      <w:r>
        <w:rPr>
          <w:rFonts w:hint="eastAsia" w:ascii="仿宋" w:hAnsi="仿宋" w:eastAsia="仿宋" w:cs="仿宋"/>
          <w:b/>
          <w:sz w:val="32"/>
          <w:szCs w:val="28"/>
          <w:highlight w:val="none"/>
        </w:rPr>
        <w:t>附录3  资格审查条件（信誉最低条件）</w:t>
      </w:r>
    </w:p>
    <w:tbl>
      <w:tblPr>
        <w:tblStyle w:val="9"/>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43"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8"/>
                <w:szCs w:val="28"/>
                <w:highlight w:val="none"/>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343" w:type="dxa"/>
            <w:noWrap w:val="0"/>
            <w:vAlign w:val="center"/>
          </w:tcPr>
          <w:p>
            <w:pPr>
              <w:spacing w:line="360" w:lineRule="auto"/>
              <w:ind w:firstLine="560" w:firstLineChars="200"/>
              <w:jc w:val="left"/>
              <w:rPr>
                <w:rFonts w:hint="eastAsia" w:ascii="仿宋" w:hAnsi="仿宋" w:eastAsia="仿宋" w:cs="仿宋"/>
                <w:sz w:val="24"/>
                <w:szCs w:val="24"/>
                <w:highlight w:val="none"/>
              </w:rPr>
            </w:pPr>
            <w:r>
              <w:rPr>
                <w:rFonts w:hint="eastAsia" w:ascii="仿宋" w:hAnsi="仿宋" w:eastAsia="仿宋" w:cs="仿宋"/>
                <w:sz w:val="28"/>
                <w:szCs w:val="32"/>
                <w:highlight w:val="none"/>
              </w:rPr>
              <w:t>投标人在近1年内(202</w:t>
            </w:r>
            <w:r>
              <w:rPr>
                <w:rFonts w:hint="eastAsia" w:ascii="仿宋" w:hAnsi="仿宋" w:eastAsia="仿宋" w:cs="仿宋"/>
                <w:sz w:val="28"/>
                <w:szCs w:val="32"/>
                <w:highlight w:val="none"/>
                <w:lang w:val="en-US" w:eastAsia="zh-CN"/>
              </w:rPr>
              <w:t>2</w:t>
            </w:r>
            <w:r>
              <w:rPr>
                <w:rFonts w:hint="eastAsia" w:ascii="仿宋" w:hAnsi="仿宋" w:eastAsia="仿宋" w:cs="仿宋"/>
                <w:sz w:val="28"/>
                <w:szCs w:val="32"/>
                <w:highlight w:val="none"/>
              </w:rPr>
              <w:t>年1月1日至今)不曾在</w:t>
            </w:r>
            <w:r>
              <w:rPr>
                <w:rFonts w:hint="eastAsia" w:ascii="仿宋" w:hAnsi="仿宋" w:eastAsia="仿宋" w:cs="仿宋"/>
                <w:sz w:val="28"/>
                <w:szCs w:val="32"/>
                <w:highlight w:val="none"/>
                <w:lang w:val="en-US" w:eastAsia="zh-CN"/>
              </w:rPr>
              <w:t>高速公路保险服务</w:t>
            </w:r>
            <w:r>
              <w:rPr>
                <w:rFonts w:hint="eastAsia" w:ascii="仿宋" w:hAnsi="仿宋" w:eastAsia="仿宋" w:cs="仿宋"/>
                <w:sz w:val="28"/>
                <w:szCs w:val="32"/>
                <w:highlight w:val="none"/>
              </w:rPr>
              <w:t>合同执行中被驱逐或因投标人自身的原因而使合同被解除。</w:t>
            </w:r>
          </w:p>
        </w:tc>
      </w:tr>
    </w:tbl>
    <w:p>
      <w:pPr>
        <w:tabs>
          <w:tab w:val="left" w:pos="3300"/>
        </w:tabs>
        <w:spacing w:line="360" w:lineRule="auto"/>
        <w:rPr>
          <w:rFonts w:hint="eastAsia" w:ascii="仿宋" w:hAnsi="仿宋" w:eastAsia="仿宋" w:cs="仿宋"/>
          <w:b/>
          <w:sz w:val="32"/>
          <w:szCs w:val="28"/>
          <w:highlight w:val="none"/>
        </w:rPr>
      </w:pPr>
    </w:p>
    <w:p>
      <w:pPr>
        <w:spacing w:line="360" w:lineRule="auto"/>
        <w:rPr>
          <w:rFonts w:hint="eastAsia" w:ascii="仿宋" w:hAnsi="仿宋" w:eastAsia="仿宋" w:cs="仿宋"/>
          <w:b/>
          <w:sz w:val="32"/>
          <w:szCs w:val="28"/>
          <w:highlight w:val="none"/>
        </w:rPr>
      </w:pPr>
    </w:p>
    <w:p>
      <w:pPr>
        <w:spacing w:line="400" w:lineRule="exact"/>
        <w:jc w:val="left"/>
        <w:rPr>
          <w:rFonts w:hint="eastAsia" w:ascii="仿宋" w:hAnsi="仿宋" w:eastAsia="仿宋" w:cs="仿宋"/>
          <w:b/>
          <w:sz w:val="40"/>
          <w:szCs w:val="36"/>
          <w:highlight w:val="none"/>
        </w:rPr>
      </w:pPr>
      <w:r>
        <w:rPr>
          <w:rFonts w:hint="eastAsia" w:ascii="仿宋" w:hAnsi="仿宋" w:eastAsia="仿宋" w:cs="仿宋"/>
          <w:b/>
          <w:kern w:val="28"/>
          <w:sz w:val="24"/>
          <w:szCs w:val="24"/>
          <w:highlight w:val="none"/>
        </w:rPr>
        <w:br w:type="page"/>
      </w:r>
      <w:r>
        <w:rPr>
          <w:rFonts w:hint="eastAsia" w:ascii="仿宋" w:hAnsi="仿宋" w:eastAsia="仿宋" w:cs="仿宋"/>
          <w:b/>
          <w:sz w:val="32"/>
          <w:szCs w:val="28"/>
          <w:highlight w:val="none"/>
          <w:lang w:eastAsia="zh-CN"/>
        </w:rPr>
        <w:t>附件</w:t>
      </w:r>
      <w:r>
        <w:rPr>
          <w:rFonts w:hint="eastAsia" w:ascii="仿宋" w:hAnsi="仿宋" w:eastAsia="仿宋" w:cs="仿宋"/>
          <w:b/>
          <w:sz w:val="32"/>
          <w:szCs w:val="28"/>
          <w:highlight w:val="none"/>
          <w:lang w:val="en-US" w:eastAsia="zh-CN"/>
        </w:rPr>
        <w:t>2：</w:t>
      </w:r>
      <w:r>
        <w:rPr>
          <w:rFonts w:hint="eastAsia" w:ascii="仿宋" w:hAnsi="仿宋" w:eastAsia="仿宋" w:cs="仿宋"/>
          <w:b/>
          <w:sz w:val="32"/>
          <w:szCs w:val="28"/>
          <w:highlight w:val="none"/>
        </w:rPr>
        <w:t>评标办法前附表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noWrap w:val="0"/>
            <w:vAlign w:val="center"/>
          </w:tcPr>
          <w:p>
            <w:pPr>
              <w:adjustRightInd w:val="0"/>
              <w:snapToGrid w:val="0"/>
              <w:spacing w:line="4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条款号</w:t>
            </w:r>
          </w:p>
        </w:tc>
        <w:tc>
          <w:tcPr>
            <w:tcW w:w="7197" w:type="dxa"/>
            <w:noWrap w:val="0"/>
            <w:vAlign w:val="center"/>
          </w:tcPr>
          <w:p>
            <w:pPr>
              <w:adjustRightInd w:val="0"/>
              <w:snapToGrid w:val="0"/>
              <w:spacing w:line="4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4" w:hRule="atLeast"/>
          <w:jc w:val="center"/>
        </w:trPr>
        <w:tc>
          <w:tcPr>
            <w:tcW w:w="1143" w:type="dxa"/>
            <w:noWrap w:val="0"/>
            <w:vAlign w:val="center"/>
          </w:tcPr>
          <w:p>
            <w:pPr>
              <w:spacing w:line="4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1</w:t>
            </w:r>
          </w:p>
        </w:tc>
        <w:tc>
          <w:tcPr>
            <w:tcW w:w="1317" w:type="dxa"/>
            <w:noWrap w:val="0"/>
            <w:vAlign w:val="center"/>
          </w:tcPr>
          <w:p>
            <w:pPr>
              <w:spacing w:line="400" w:lineRule="exact"/>
              <w:jc w:val="center"/>
              <w:rPr>
                <w:rFonts w:hint="eastAsia" w:ascii="仿宋" w:hAnsi="仿宋" w:eastAsia="仿宋" w:cs="仿宋"/>
                <w:b/>
                <w:sz w:val="28"/>
                <w:szCs w:val="32"/>
                <w:highlight w:val="none"/>
              </w:rPr>
            </w:pPr>
            <w:r>
              <w:rPr>
                <w:rFonts w:hint="eastAsia" w:ascii="仿宋" w:hAnsi="仿宋" w:eastAsia="仿宋" w:cs="仿宋"/>
                <w:sz w:val="28"/>
                <w:szCs w:val="28"/>
                <w:highlight w:val="none"/>
              </w:rPr>
              <w:t>评标办法</w:t>
            </w:r>
          </w:p>
        </w:tc>
        <w:tc>
          <w:tcPr>
            <w:tcW w:w="7197" w:type="dxa"/>
            <w:noWrap w:val="0"/>
            <w:vAlign w:val="center"/>
          </w:tcPr>
          <w:p>
            <w:pPr>
              <w:snapToGrid w:val="0"/>
              <w:spacing w:line="400" w:lineRule="exact"/>
              <w:jc w:val="left"/>
              <w:textAlignment w:val="baseline"/>
              <w:rPr>
                <w:rFonts w:hint="eastAsia" w:ascii="仿宋" w:hAnsi="仿宋" w:eastAsia="仿宋" w:cs="仿宋"/>
                <w:sz w:val="28"/>
                <w:szCs w:val="32"/>
                <w:highlight w:val="none"/>
              </w:rPr>
            </w:pPr>
            <w:r>
              <w:rPr>
                <w:rFonts w:hint="eastAsia" w:ascii="仿宋" w:hAnsi="仿宋" w:eastAsia="仿宋" w:cs="仿宋"/>
                <w:sz w:val="28"/>
                <w:szCs w:val="32"/>
                <w:highlight w:val="none"/>
              </w:rPr>
              <w:t>本次评标采用综合评估法。评标委员会对满足招标文件实质性要求的投标文件，按照本章第2.2款规定的评分标准进行打分，并按得分由高到低顺序推荐1-3中标候选人。综合评分相等时，评标委员会依次按照以下优先顺序推荐中标候选人：</w:t>
            </w:r>
          </w:p>
          <w:p>
            <w:pPr>
              <w:adjustRightInd w:val="0"/>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（1）评标价低的投标人优先；</w:t>
            </w:r>
          </w:p>
          <w:p>
            <w:pPr>
              <w:adjustRightInd w:val="0"/>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（2）服务方案得分较高的投标人优先；</w:t>
            </w:r>
          </w:p>
          <w:p>
            <w:pPr>
              <w:adjustRightInd w:val="0"/>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（3）投标人近3年内满足资格审查条件(业绩最低条件)要求的业绩累计金额高的优先。</w:t>
            </w:r>
          </w:p>
          <w:p>
            <w:pPr>
              <w:pStyle w:val="3"/>
              <w:spacing w:line="400" w:lineRule="exact"/>
              <w:rPr>
                <w:rFonts w:hint="eastAsia" w:ascii="仿宋" w:hAnsi="仿宋" w:eastAsia="仿宋" w:cs="仿宋"/>
                <w:sz w:val="40"/>
                <w:szCs w:val="36"/>
                <w:highlight w:val="none"/>
              </w:rPr>
            </w:pPr>
            <w:r>
              <w:rPr>
                <w:rFonts w:hint="eastAsia" w:ascii="仿宋" w:hAnsi="仿宋" w:eastAsia="仿宋" w:cs="仿宋"/>
                <w:szCs w:val="28"/>
                <w:highlight w:val="none"/>
              </w:rPr>
              <w:t>通过第一信封商务、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2.1.1</w:t>
            </w:r>
          </w:p>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2.1.3</w:t>
            </w:r>
          </w:p>
        </w:tc>
        <w:tc>
          <w:tcPr>
            <w:tcW w:w="1317"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形式评审与响应性评审标准</w:t>
            </w:r>
          </w:p>
        </w:tc>
        <w:tc>
          <w:tcPr>
            <w:tcW w:w="7197" w:type="dxa"/>
            <w:noWrap w:val="0"/>
            <w:vAlign w:val="top"/>
          </w:tcPr>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第一个信封（商务及技术文件）评审标准:</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（1）投标文件按照招标文件规定的格式、内容填写，字迹清晰可辨：</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a.投标函按招标文件规定填报了项目名称、补遗书编号（如有）、服务期限信息</w:t>
            </w:r>
            <w:r>
              <w:rPr>
                <w:rFonts w:hint="eastAsia" w:ascii="仿宋" w:hAnsi="仿宋" w:eastAsia="仿宋" w:cs="仿宋"/>
                <w:sz w:val="28"/>
                <w:szCs w:val="32"/>
                <w:highlight w:val="none"/>
                <w:lang w:eastAsia="zh-CN"/>
              </w:rPr>
              <w:t>、质量要求</w:t>
            </w:r>
            <w:r>
              <w:rPr>
                <w:rFonts w:hint="eastAsia" w:ascii="仿宋" w:hAnsi="仿宋" w:eastAsia="仿宋" w:cs="仿宋"/>
                <w:sz w:val="28"/>
                <w:szCs w:val="32"/>
                <w:highlight w:val="none"/>
              </w:rPr>
              <w:t>；</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b.投标文件组成齐全完整，内容均按规定填写。</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（2）投标文件上法定代表人或其委托代理人的签字、投标人的单位章盖章齐全，符合招标文件规定。</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（3）投标人按照招标文件的规定提供了投标保证金：</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a.投标保证金金额符合招标文件规定的金额，且投标保证金有效期不少于投标有效期；</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b.若投标保证金采用电汇或转账形式提交，投标人应在递交投标文件截止时间之前，将投标保证金由投标人的基本账户转入招标人指定账户；</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c.若投标保证金采用银行保函形式提交，银行保函的格式、开具保函的银行均满足招标文件要求，且在递交投标文件截止时间之前向招标人提交了银行保函原件。</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 xml:space="preserve">（4）投标人法定代表人授权委托代理人签署投标文件的，须提交授权委托书，授权委托书的签字盖章符合招标文件规定，授权委托书只能授权给一名委托代理人。 </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（5）投标人法定代表人亲自签署投标文件的，提供了法定代表人身份证明，法定代表人身份证明的签字盖章符合招标文件规定。</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（6）投标人未以联合体形式投标。</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（7）投标人未对本项目提出分包计划。</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（8）同一投标人未提交两个以上不同的投标文件。</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（9）投标文件中未出现有关投标报价的内容。</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（10）投标文件载明的招标项目完成期限未超过招标文件规定的时限。</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（11）投标文件对招标文件的实质性要求和条件作出响应。</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（12）权利义务符合招标文件规定：</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a.投标人应接受招标文件规定的风险划分原则，未提出新的风险划分办法；</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b.投标人未增加发包人的责任范围，或减少投标人义务；</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c.投标人未提出不同的支付办法；</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d.投标人对合同纠纷、事故处理办法未提出异议；</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e.投标人在投标活动中无欺诈行为；</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f.投标人未对合同条款有重要保留。</w:t>
            </w:r>
          </w:p>
          <w:p>
            <w:pPr>
              <w:tabs>
                <w:tab w:val="left" w:pos="3060"/>
              </w:tabs>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第二个信封（报价文件）评审标准：</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（1）投标文件按照招标文件规定的格式、内容填写，字迹清晰可辨：</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a.投标函按招标文件规定填报了项目名称、补遗书编号（如有）、投标价；</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b．投标文件组成齐全完整，内容均按规定填写。</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（2）投标文件上法定代表人或其委托代理人的签字、投标人的单位章盖章齐全，符合招标文件规定。</w:t>
            </w:r>
          </w:p>
          <w:p>
            <w:pPr>
              <w:tabs>
                <w:tab w:val="left" w:pos="3060"/>
              </w:tabs>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（3）投标报价中的报价未超过招标文件设定的最高投标限价。</w:t>
            </w:r>
          </w:p>
          <w:p>
            <w:pPr>
              <w:tabs>
                <w:tab w:val="left" w:pos="3060"/>
              </w:tabs>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（4）投标报价中报价能够确定具体数值。</w:t>
            </w:r>
          </w:p>
          <w:p>
            <w:pPr>
              <w:tabs>
                <w:tab w:val="left" w:pos="3060"/>
              </w:tabs>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2.1.2</w:t>
            </w:r>
          </w:p>
        </w:tc>
        <w:tc>
          <w:tcPr>
            <w:tcW w:w="1317"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资格评审标准</w:t>
            </w:r>
          </w:p>
        </w:tc>
        <w:tc>
          <w:tcPr>
            <w:tcW w:w="7197" w:type="dxa"/>
            <w:noWrap w:val="0"/>
            <w:vAlign w:val="top"/>
          </w:tcPr>
          <w:p>
            <w:pPr>
              <w:tabs>
                <w:tab w:val="left" w:pos="3060"/>
              </w:tabs>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（1）投标人具备有效的营业执照、组织机构代码证（三证合一或五证合一的除外）</w:t>
            </w:r>
            <w:r>
              <w:rPr>
                <w:rFonts w:hint="eastAsia" w:ascii="仿宋" w:hAnsi="仿宋" w:eastAsia="仿宋" w:cs="仿宋"/>
                <w:sz w:val="28"/>
                <w:szCs w:val="28"/>
                <w:highlight w:val="none"/>
                <w:lang w:eastAsia="zh-CN"/>
              </w:rPr>
              <w:t>、保险许可证</w:t>
            </w:r>
            <w:r>
              <w:rPr>
                <w:rFonts w:hint="eastAsia" w:ascii="仿宋" w:hAnsi="仿宋" w:eastAsia="仿宋" w:cs="仿宋"/>
                <w:sz w:val="28"/>
                <w:szCs w:val="28"/>
                <w:highlight w:val="none"/>
              </w:rPr>
              <w:t>和基本账户开户许可证（或基本存款账户信息）；</w:t>
            </w:r>
          </w:p>
          <w:p>
            <w:pPr>
              <w:pStyle w:val="3"/>
              <w:spacing w:line="400" w:lineRule="exact"/>
              <w:rPr>
                <w:rFonts w:hint="eastAsia" w:ascii="仿宋" w:hAnsi="仿宋" w:eastAsia="仿宋" w:cs="仿宋"/>
                <w:szCs w:val="28"/>
                <w:highlight w:val="none"/>
              </w:rPr>
            </w:pPr>
            <w:r>
              <w:rPr>
                <w:rFonts w:hint="eastAsia" w:ascii="仿宋" w:hAnsi="仿宋" w:eastAsia="仿宋" w:cs="仿宋"/>
                <w:szCs w:val="28"/>
                <w:highlight w:val="none"/>
              </w:rPr>
              <w:t>（2）投标人的项目业绩符合招标文件规定；</w:t>
            </w:r>
          </w:p>
          <w:p>
            <w:pPr>
              <w:tabs>
                <w:tab w:val="left" w:pos="3060"/>
              </w:tabs>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（3）投标人的信誉符合招标文件规定；</w:t>
            </w:r>
          </w:p>
          <w:p>
            <w:pPr>
              <w:tabs>
                <w:tab w:val="left" w:pos="3060"/>
              </w:tabs>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（4）投标人不存在第二章“投标人须知”第1.4.3项和1.4.4项规定的任何一种情形。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条款号</w:t>
            </w:r>
          </w:p>
        </w:tc>
        <w:tc>
          <w:tcPr>
            <w:tcW w:w="1317" w:type="dxa"/>
            <w:noWrap w:val="0"/>
            <w:vAlign w:val="center"/>
          </w:tcPr>
          <w:p>
            <w:pPr>
              <w:adjustRightInd w:val="0"/>
              <w:snapToGrid w:val="0"/>
              <w:spacing w:line="4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条款内容</w:t>
            </w:r>
          </w:p>
        </w:tc>
        <w:tc>
          <w:tcPr>
            <w:tcW w:w="7197" w:type="dxa"/>
            <w:noWrap w:val="0"/>
            <w:vAlign w:val="center"/>
          </w:tcPr>
          <w:p>
            <w:pPr>
              <w:adjustRightInd w:val="0"/>
              <w:snapToGrid w:val="0"/>
              <w:spacing w:line="4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32"/>
                <w:highlight w:val="none"/>
              </w:rPr>
            </w:pPr>
            <w:r>
              <w:rPr>
                <w:rFonts w:hint="eastAsia" w:ascii="仿宋" w:hAnsi="仿宋" w:eastAsia="仿宋" w:cs="仿宋"/>
                <w:sz w:val="28"/>
                <w:szCs w:val="32"/>
                <w:highlight w:val="none"/>
              </w:rPr>
              <w:t>2.2.1</w:t>
            </w:r>
          </w:p>
        </w:tc>
        <w:tc>
          <w:tcPr>
            <w:tcW w:w="1317" w:type="dxa"/>
            <w:noWrap w:val="0"/>
            <w:vAlign w:val="center"/>
          </w:tcPr>
          <w:p>
            <w:pPr>
              <w:adjustRightInd w:val="0"/>
              <w:snapToGrid w:val="0"/>
              <w:spacing w:line="400" w:lineRule="exact"/>
              <w:jc w:val="center"/>
              <w:rPr>
                <w:rFonts w:hint="eastAsia" w:ascii="仿宋" w:hAnsi="仿宋" w:eastAsia="仿宋" w:cs="仿宋"/>
                <w:sz w:val="28"/>
                <w:szCs w:val="32"/>
                <w:highlight w:val="none"/>
              </w:rPr>
            </w:pPr>
            <w:r>
              <w:rPr>
                <w:rFonts w:hint="eastAsia" w:ascii="仿宋" w:hAnsi="仿宋" w:eastAsia="仿宋" w:cs="仿宋"/>
                <w:sz w:val="28"/>
                <w:szCs w:val="32"/>
                <w:highlight w:val="none"/>
              </w:rPr>
              <w:t>分值构成（总分100分）</w:t>
            </w:r>
          </w:p>
        </w:tc>
        <w:tc>
          <w:tcPr>
            <w:tcW w:w="7197" w:type="dxa"/>
            <w:noWrap w:val="0"/>
            <w:vAlign w:val="center"/>
          </w:tcPr>
          <w:p>
            <w:pPr>
              <w:adjustRightInd w:val="0"/>
              <w:snapToGrid w:val="0"/>
              <w:spacing w:line="400" w:lineRule="exact"/>
              <w:rPr>
                <w:rFonts w:hint="eastAsia" w:ascii="仿宋" w:hAnsi="仿宋" w:eastAsia="仿宋" w:cs="仿宋"/>
                <w:b/>
                <w:sz w:val="28"/>
                <w:szCs w:val="32"/>
                <w:highlight w:val="none"/>
              </w:rPr>
            </w:pPr>
            <w:r>
              <w:rPr>
                <w:rFonts w:hint="eastAsia" w:ascii="仿宋" w:hAnsi="仿宋" w:eastAsia="仿宋" w:cs="仿宋"/>
                <w:b/>
                <w:sz w:val="28"/>
                <w:szCs w:val="32"/>
                <w:highlight w:val="none"/>
              </w:rPr>
              <w:t>第一个信封（商务及技术文件）评分分值构成：</w:t>
            </w:r>
          </w:p>
          <w:p>
            <w:pPr>
              <w:adjustRightInd w:val="0"/>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同类业绩：       20分</w:t>
            </w:r>
          </w:p>
          <w:p>
            <w:pPr>
              <w:adjustRightInd w:val="0"/>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服务方案：       70分</w:t>
            </w:r>
          </w:p>
          <w:p>
            <w:pPr>
              <w:adjustRightInd w:val="0"/>
              <w:snapToGrid w:val="0"/>
              <w:spacing w:line="400" w:lineRule="exact"/>
              <w:rPr>
                <w:rFonts w:hint="eastAsia" w:ascii="仿宋" w:hAnsi="仿宋" w:eastAsia="仿宋" w:cs="仿宋"/>
                <w:b/>
                <w:sz w:val="28"/>
                <w:szCs w:val="32"/>
                <w:highlight w:val="none"/>
              </w:rPr>
            </w:pPr>
            <w:r>
              <w:rPr>
                <w:rFonts w:hint="eastAsia" w:ascii="仿宋" w:hAnsi="仿宋" w:eastAsia="仿宋" w:cs="仿宋"/>
                <w:b/>
                <w:sz w:val="28"/>
                <w:szCs w:val="32"/>
                <w:highlight w:val="none"/>
              </w:rPr>
              <w:t>第二个信封（报价文件）评分分值构成：</w:t>
            </w:r>
          </w:p>
          <w:p>
            <w:pPr>
              <w:adjustRightInd w:val="0"/>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评 标 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3"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2.2.2</w:t>
            </w:r>
          </w:p>
        </w:tc>
        <w:tc>
          <w:tcPr>
            <w:tcW w:w="1317"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评标基准价计算方法</w:t>
            </w:r>
          </w:p>
        </w:tc>
        <w:tc>
          <w:tcPr>
            <w:tcW w:w="7197" w:type="dxa"/>
            <w:noWrap w:val="0"/>
            <w:vAlign w:val="center"/>
          </w:tcPr>
          <w:p>
            <w:pPr>
              <w:pStyle w:val="8"/>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评标基准价的计算：</w:t>
            </w:r>
          </w:p>
          <w:p>
            <w:pPr>
              <w:pStyle w:val="8"/>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 xml:space="preserve">  开标现场，招标人将当场计算并宣布评标基准价。</w:t>
            </w:r>
          </w:p>
          <w:p>
            <w:pPr>
              <w:pStyle w:val="8"/>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1、评标价的确定：</w:t>
            </w:r>
          </w:p>
          <w:p>
            <w:pPr>
              <w:pStyle w:val="8"/>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评标价=投标函文字报价</w:t>
            </w:r>
          </w:p>
          <w:p>
            <w:pPr>
              <w:pStyle w:val="8"/>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2、评标价平均值的计算：</w:t>
            </w:r>
          </w:p>
          <w:p>
            <w:pPr>
              <w:pStyle w:val="8"/>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除按第二章“投标人须知”第5.2.4项规定开标现场被宣布为不进入评标基准价计算的投标报价之外，所有投标人的评标价去掉一个最高值和一个最低值后的算数平均值即为评标价平均值（如果参与评标价平均值计算的有效投标人少于5家时，则计算评标价平均值时不去掉最高值和最低值）。</w:t>
            </w:r>
          </w:p>
          <w:p>
            <w:pPr>
              <w:pStyle w:val="8"/>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 xml:space="preserve">3、评标基准价的确定： </w:t>
            </w:r>
          </w:p>
          <w:p>
            <w:pPr>
              <w:pStyle w:val="8"/>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 xml:space="preserve">评标价平均值直接作为评标基准价。 </w:t>
            </w:r>
          </w:p>
          <w:p>
            <w:pPr>
              <w:pStyle w:val="8"/>
              <w:spacing w:line="400" w:lineRule="exact"/>
              <w:ind w:firstLine="0" w:firstLineChars="0"/>
              <w:rPr>
                <w:rFonts w:hint="eastAsia" w:ascii="仿宋" w:hAnsi="仿宋" w:eastAsia="仿宋" w:cs="仿宋"/>
                <w:sz w:val="28"/>
                <w:szCs w:val="24"/>
                <w:highlight w:val="none"/>
              </w:rPr>
            </w:pPr>
            <w:r>
              <w:rPr>
                <w:rFonts w:hint="eastAsia" w:ascii="仿宋" w:hAnsi="仿宋" w:eastAsia="仿宋" w:cs="仿宋"/>
                <w:sz w:val="28"/>
                <w:szCs w:val="24"/>
                <w:highlight w:val="none"/>
              </w:rPr>
              <w:t>评标基准价保留小数点后两位，小数点后第三位四舍五入。</w:t>
            </w:r>
          </w:p>
          <w:p>
            <w:pPr>
              <w:adjustRightInd w:val="0"/>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32"/>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2.2.3</w:t>
            </w:r>
          </w:p>
        </w:tc>
        <w:tc>
          <w:tcPr>
            <w:tcW w:w="1317"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评标价的偏差率计算公式</w:t>
            </w:r>
          </w:p>
        </w:tc>
        <w:tc>
          <w:tcPr>
            <w:tcW w:w="7197" w:type="dxa"/>
            <w:noWrap w:val="0"/>
            <w:vAlign w:val="center"/>
          </w:tcPr>
          <w:p>
            <w:pPr>
              <w:adjustRightInd w:val="0"/>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32"/>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3.6.1</w:t>
            </w:r>
          </w:p>
        </w:tc>
        <w:tc>
          <w:tcPr>
            <w:tcW w:w="1317" w:type="dxa"/>
            <w:noWrap w:val="0"/>
            <w:vAlign w:val="center"/>
          </w:tcPr>
          <w:p>
            <w:pPr>
              <w:adjustRightInd w:val="0"/>
              <w:snapToGrid w:val="0"/>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信息查询</w:t>
            </w:r>
          </w:p>
        </w:tc>
        <w:tc>
          <w:tcPr>
            <w:tcW w:w="7197" w:type="dxa"/>
            <w:noWrap w:val="0"/>
            <w:vAlign w:val="center"/>
          </w:tcPr>
          <w:p>
            <w:pPr>
              <w:adjustRightInd w:val="0"/>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在评标过程中，评标委员会应对以下信息进行查询：</w:t>
            </w:r>
          </w:p>
          <w:p>
            <w:pPr>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评标委员会评标时在“国家企业信用信息公示系统”和“信用中国”网站对投标人的信用情况进行查询，若投标人存在“国家企业信用信息公示系统” 被列入严重违法失信企业名单（不含分公司）或在“信用中国”网站“被列入失信被执行人名单、异常经营名录、税收违法黑名单、政府采购严重违法失信名单”（均不含分公司）情形的，评标委员会应否决其投标。</w:t>
            </w:r>
          </w:p>
          <w:p>
            <w:pPr>
              <w:snapToGrid w:val="0"/>
              <w:spacing w:line="400" w:lineRule="exact"/>
              <w:rPr>
                <w:rFonts w:hint="eastAsia" w:ascii="仿宋" w:hAnsi="仿宋" w:eastAsia="仿宋" w:cs="仿宋"/>
                <w:sz w:val="28"/>
                <w:szCs w:val="32"/>
                <w:highlight w:val="none"/>
              </w:rPr>
            </w:pPr>
            <w:r>
              <w:rPr>
                <w:rFonts w:hint="eastAsia" w:ascii="仿宋" w:hAnsi="仿宋" w:eastAsia="仿宋" w:cs="仿宋"/>
                <w:sz w:val="28"/>
                <w:szCs w:val="28"/>
                <w:highlight w:val="none"/>
              </w:rPr>
              <w:t>若投标人未提供相关网页截图或所附截图与核查结果不一致使得投标人的资格条件不符合招标文件规定的，评标委员会应否决其投标。</w:t>
            </w:r>
          </w:p>
        </w:tc>
      </w:tr>
    </w:tbl>
    <w:p>
      <w:pPr>
        <w:snapToGrid w:val="0"/>
        <w:spacing w:line="400" w:lineRule="exact"/>
        <w:jc w:val="left"/>
        <w:rPr>
          <w:rFonts w:hint="eastAsia" w:ascii="仿宋" w:hAnsi="仿宋" w:eastAsia="仿宋" w:cs="仿宋"/>
          <w:sz w:val="32"/>
          <w:szCs w:val="36"/>
          <w:highlight w:val="none"/>
        </w:rPr>
      </w:pPr>
    </w:p>
    <w:p>
      <w:pPr>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br w:type="page"/>
      </w:r>
    </w:p>
    <w:tbl>
      <w:tblPr>
        <w:tblStyle w:val="9"/>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noWrap w:val="0"/>
            <w:vAlign w:val="center"/>
          </w:tcPr>
          <w:p>
            <w:pPr>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2154" w:type="dxa"/>
            <w:gridSpan w:val="2"/>
            <w:noWrap w:val="0"/>
            <w:vAlign w:val="center"/>
          </w:tcPr>
          <w:p>
            <w:pPr>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评审项目</w:t>
            </w:r>
          </w:p>
        </w:tc>
        <w:tc>
          <w:tcPr>
            <w:tcW w:w="843" w:type="dxa"/>
            <w:noWrap w:val="0"/>
            <w:vAlign w:val="center"/>
          </w:tcPr>
          <w:p>
            <w:pPr>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标准分</w:t>
            </w:r>
          </w:p>
        </w:tc>
        <w:tc>
          <w:tcPr>
            <w:tcW w:w="5978" w:type="dxa"/>
            <w:noWrap w:val="0"/>
            <w:vAlign w:val="center"/>
          </w:tcPr>
          <w:p>
            <w:pPr>
              <w:spacing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     分     标     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noWrap w:val="0"/>
            <w:vAlign w:val="center"/>
          </w:tcPr>
          <w:p>
            <w:pPr>
              <w:snapToGrid w:val="0"/>
              <w:spacing w:line="400" w:lineRule="exact"/>
              <w:jc w:val="center"/>
              <w:rPr>
                <w:rFonts w:hint="eastAsia" w:ascii="仿宋" w:hAnsi="仿宋" w:eastAsia="仿宋" w:cs="仿宋"/>
                <w:bCs/>
                <w:w w:val="90"/>
                <w:sz w:val="28"/>
                <w:szCs w:val="28"/>
                <w:highlight w:val="none"/>
              </w:rPr>
            </w:pPr>
            <w:r>
              <w:rPr>
                <w:rFonts w:hint="eastAsia" w:ascii="仿宋" w:hAnsi="仿宋" w:eastAsia="仿宋" w:cs="仿宋"/>
                <w:bCs/>
                <w:w w:val="90"/>
                <w:sz w:val="28"/>
                <w:szCs w:val="28"/>
                <w:highlight w:val="none"/>
              </w:rPr>
              <w:t>1</w:t>
            </w:r>
          </w:p>
        </w:tc>
        <w:tc>
          <w:tcPr>
            <w:tcW w:w="2154" w:type="dxa"/>
            <w:gridSpan w:val="2"/>
            <w:noWrap w:val="0"/>
            <w:vAlign w:val="center"/>
          </w:tcPr>
          <w:p>
            <w:pPr>
              <w:snapToGrid w:val="0"/>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同类业绩</w:t>
            </w:r>
          </w:p>
        </w:tc>
        <w:tc>
          <w:tcPr>
            <w:tcW w:w="843" w:type="dxa"/>
            <w:noWrap w:val="0"/>
            <w:vAlign w:val="center"/>
          </w:tcPr>
          <w:p>
            <w:pPr>
              <w:snapToGrid w:val="0"/>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20分</w:t>
            </w:r>
          </w:p>
        </w:tc>
        <w:tc>
          <w:tcPr>
            <w:tcW w:w="5978" w:type="dxa"/>
            <w:noWrap w:val="0"/>
            <w:vAlign w:val="center"/>
          </w:tcPr>
          <w:p>
            <w:pPr>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满足资格审查条件(业绩最低要求)得12分；</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sz w:val="28"/>
                <w:szCs w:val="28"/>
                <w:highlight w:val="none"/>
              </w:rPr>
              <w:t>近3年内（20</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年1月1日至今，以合同签订时间为准）</w:t>
            </w:r>
            <w:r>
              <w:rPr>
                <w:rFonts w:hint="eastAsia" w:ascii="仿宋" w:hAnsi="仿宋" w:eastAsia="仿宋" w:cs="仿宋"/>
                <w:bCs/>
                <w:sz w:val="28"/>
                <w:szCs w:val="28"/>
                <w:highlight w:val="none"/>
              </w:rPr>
              <w:t>每增加一项</w:t>
            </w:r>
            <w:r>
              <w:rPr>
                <w:rFonts w:hint="eastAsia" w:ascii="仿宋" w:hAnsi="仿宋" w:eastAsia="仿宋" w:cs="仿宋"/>
                <w:bCs/>
                <w:sz w:val="28"/>
                <w:szCs w:val="28"/>
                <w:highlight w:val="none"/>
                <w:lang w:eastAsia="zh-CN"/>
              </w:rPr>
              <w:t>车辆责任险（非个人）服务</w:t>
            </w:r>
            <w:r>
              <w:rPr>
                <w:rFonts w:hint="eastAsia" w:ascii="仿宋" w:hAnsi="仿宋" w:eastAsia="仿宋" w:cs="仿宋"/>
                <w:bCs/>
                <w:sz w:val="28"/>
                <w:szCs w:val="28"/>
                <w:highlight w:val="none"/>
              </w:rPr>
              <w:t>业绩加4分，最高加8分。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restart"/>
            <w:tcBorders>
              <w:right w:val="single" w:color="auto" w:sz="2" w:space="0"/>
            </w:tcBorders>
            <w:noWrap w:val="0"/>
            <w:vAlign w:val="center"/>
          </w:tcPr>
          <w:p>
            <w:pPr>
              <w:snapToGrid w:val="0"/>
              <w:spacing w:line="400" w:lineRule="exact"/>
              <w:jc w:val="center"/>
              <w:rPr>
                <w:rFonts w:hint="eastAsia" w:ascii="仿宋" w:hAnsi="仿宋" w:eastAsia="仿宋" w:cs="仿宋"/>
                <w:bCs/>
                <w:w w:val="90"/>
                <w:sz w:val="28"/>
                <w:szCs w:val="28"/>
                <w:highlight w:val="none"/>
              </w:rPr>
            </w:pPr>
            <w:r>
              <w:rPr>
                <w:rFonts w:hint="eastAsia" w:ascii="仿宋" w:hAnsi="仿宋" w:eastAsia="仿宋" w:cs="仿宋"/>
                <w:bCs/>
                <w:w w:val="90"/>
                <w:sz w:val="28"/>
                <w:szCs w:val="28"/>
                <w:highlight w:val="none"/>
              </w:rPr>
              <w:t>2</w:t>
            </w:r>
          </w:p>
        </w:tc>
        <w:tc>
          <w:tcPr>
            <w:tcW w:w="1030" w:type="dxa"/>
            <w:vMerge w:val="restart"/>
            <w:tcBorders>
              <w:left w:val="single" w:color="auto" w:sz="2" w:space="0"/>
              <w:right w:val="single" w:color="auto" w:sz="2" w:space="0"/>
            </w:tcBorders>
            <w:noWrap w:val="0"/>
            <w:vAlign w:val="center"/>
          </w:tcPr>
          <w:p>
            <w:pPr>
              <w:snapToGrid w:val="0"/>
              <w:spacing w:before="120" w:beforeLines="50" w:after="120" w:afterLines="50"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服务方案</w:t>
            </w:r>
          </w:p>
          <w:p>
            <w:pPr>
              <w:snapToGrid w:val="0"/>
              <w:spacing w:before="120" w:beforeLines="50" w:after="120" w:afterLines="50"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（70分）</w:t>
            </w:r>
          </w:p>
        </w:tc>
        <w:tc>
          <w:tcPr>
            <w:tcW w:w="1124" w:type="dxa"/>
            <w:tcBorders>
              <w:left w:val="single" w:color="auto" w:sz="2" w:space="0"/>
            </w:tcBorders>
            <w:noWrap w:val="0"/>
            <w:vAlign w:val="center"/>
          </w:tcPr>
          <w:p>
            <w:pPr>
              <w:snapToGrid w:val="0"/>
              <w:spacing w:before="120" w:beforeLines="50" w:after="120" w:afterLines="50" w:line="400" w:lineRule="exact"/>
              <w:jc w:val="center"/>
              <w:rPr>
                <w:rFonts w:hint="eastAsia" w:ascii="仿宋" w:hAnsi="仿宋" w:eastAsia="仿宋" w:cs="仿宋"/>
                <w:bCs/>
                <w:sz w:val="28"/>
                <w:szCs w:val="28"/>
                <w:highlight w:val="none"/>
              </w:rPr>
            </w:pPr>
            <w:r>
              <w:rPr>
                <w:rFonts w:hint="eastAsia" w:ascii="仿宋" w:hAnsi="仿宋" w:eastAsia="仿宋" w:cs="仿宋"/>
                <w:sz w:val="28"/>
                <w:szCs w:val="28"/>
                <w:highlight w:val="none"/>
                <w:lang w:val="en-US" w:eastAsia="zh-CN"/>
              </w:rPr>
              <w:t>服务流程制度</w:t>
            </w:r>
          </w:p>
        </w:tc>
        <w:tc>
          <w:tcPr>
            <w:tcW w:w="843" w:type="dxa"/>
            <w:noWrap w:val="0"/>
            <w:vAlign w:val="center"/>
          </w:tcPr>
          <w:p>
            <w:pPr>
              <w:snapToGrid w:val="0"/>
              <w:spacing w:line="400" w:lineRule="exact"/>
              <w:jc w:val="center"/>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20</w:t>
            </w:r>
          </w:p>
        </w:tc>
        <w:tc>
          <w:tcPr>
            <w:tcW w:w="5978" w:type="dxa"/>
            <w:noWrap w:val="0"/>
            <w:vAlign w:val="center"/>
          </w:tcPr>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lang w:eastAsia="zh-CN"/>
              </w:rPr>
              <w:t>投标人应</w:t>
            </w:r>
            <w:r>
              <w:rPr>
                <w:rFonts w:hint="eastAsia" w:ascii="仿宋" w:hAnsi="仿宋" w:eastAsia="仿宋" w:cs="仿宋"/>
                <w:bCs/>
                <w:sz w:val="28"/>
                <w:szCs w:val="28"/>
                <w:highlight w:val="none"/>
              </w:rPr>
              <w:t>建立新车入保、旧车续保、出险等业务流程、管理制度。包括业务流程图示，上门服务方案，投保、续保手续及服务时限，承保服务保证措施，保费的计算、结算等内容</w:t>
            </w:r>
          </w:p>
          <w:p>
            <w:pPr>
              <w:snapToGrid w:val="0"/>
              <w:spacing w:line="400" w:lineRule="exac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第一档，科学合理，内容详细，得</w:t>
            </w:r>
            <w:r>
              <w:rPr>
                <w:rFonts w:hint="eastAsia" w:ascii="仿宋" w:hAnsi="仿宋" w:eastAsia="仿宋" w:cs="仿宋"/>
                <w:bCs/>
                <w:sz w:val="28"/>
                <w:szCs w:val="28"/>
                <w:highlight w:val="none"/>
              </w:rPr>
              <w:t>18.01-20</w:t>
            </w:r>
            <w:r>
              <w:rPr>
                <w:rFonts w:hint="eastAsia" w:ascii="仿宋" w:hAnsi="仿宋" w:eastAsia="仿宋" w:cs="仿宋"/>
                <w:bCs/>
                <w:sz w:val="28"/>
                <w:szCs w:val="28"/>
                <w:highlight w:val="none"/>
                <w:lang w:val="en-US" w:eastAsia="zh-CN"/>
              </w:rPr>
              <w:t>分；</w:t>
            </w:r>
          </w:p>
          <w:p>
            <w:pPr>
              <w:snapToGrid w:val="0"/>
              <w:spacing w:line="400" w:lineRule="exac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第二档，较科学合理，内容较详细，得</w:t>
            </w:r>
            <w:r>
              <w:rPr>
                <w:rFonts w:hint="eastAsia" w:ascii="仿宋" w:hAnsi="仿宋" w:eastAsia="仿宋" w:cs="仿宋"/>
                <w:bCs/>
                <w:sz w:val="28"/>
                <w:szCs w:val="28"/>
                <w:highlight w:val="none"/>
              </w:rPr>
              <w:t>15.01-18</w:t>
            </w:r>
            <w:r>
              <w:rPr>
                <w:rFonts w:hint="eastAsia" w:ascii="仿宋" w:hAnsi="仿宋" w:eastAsia="仿宋" w:cs="仿宋"/>
                <w:bCs/>
                <w:sz w:val="28"/>
                <w:szCs w:val="28"/>
                <w:highlight w:val="none"/>
                <w:lang w:val="en-US" w:eastAsia="zh-CN"/>
              </w:rPr>
              <w:t>分；</w:t>
            </w:r>
          </w:p>
          <w:p>
            <w:pPr>
              <w:snapToGrid w:val="0"/>
              <w:spacing w:line="400" w:lineRule="exac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第三档，基本合理，内容过于简单，得</w:t>
            </w:r>
            <w:r>
              <w:rPr>
                <w:rFonts w:hint="eastAsia" w:ascii="仿宋" w:hAnsi="仿宋" w:eastAsia="仿宋" w:cs="仿宋"/>
                <w:bCs/>
                <w:sz w:val="28"/>
                <w:szCs w:val="28"/>
                <w:highlight w:val="none"/>
              </w:rPr>
              <w:t>12-15</w:t>
            </w:r>
            <w:r>
              <w:rPr>
                <w:rFonts w:hint="eastAsia" w:ascii="仿宋" w:hAnsi="仿宋" w:eastAsia="仿宋" w:cs="仿宋"/>
                <w:bCs/>
                <w:sz w:val="28"/>
                <w:szCs w:val="28"/>
                <w:highlight w:val="none"/>
                <w:lang w:val="en-US" w:eastAsia="zh-CN"/>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continue"/>
            <w:tcBorders>
              <w:right w:val="single" w:color="auto" w:sz="2" w:space="0"/>
            </w:tcBorders>
            <w:noWrap w:val="0"/>
            <w:vAlign w:val="center"/>
          </w:tcPr>
          <w:p>
            <w:pPr>
              <w:snapToGrid w:val="0"/>
              <w:spacing w:line="400" w:lineRule="exact"/>
              <w:jc w:val="center"/>
              <w:rPr>
                <w:rFonts w:hint="eastAsia" w:ascii="仿宋" w:hAnsi="仿宋" w:eastAsia="仿宋" w:cs="仿宋"/>
                <w:bCs/>
                <w:w w:val="90"/>
                <w:sz w:val="28"/>
                <w:szCs w:val="28"/>
                <w:highlight w:val="none"/>
              </w:rPr>
            </w:pPr>
          </w:p>
        </w:tc>
        <w:tc>
          <w:tcPr>
            <w:tcW w:w="1030" w:type="dxa"/>
            <w:vMerge w:val="continue"/>
            <w:tcBorders>
              <w:left w:val="single" w:color="auto" w:sz="2" w:space="0"/>
              <w:right w:val="single" w:color="auto" w:sz="2" w:space="0"/>
            </w:tcBorders>
            <w:noWrap w:val="0"/>
            <w:vAlign w:val="center"/>
          </w:tcPr>
          <w:p>
            <w:pPr>
              <w:snapToGrid w:val="0"/>
              <w:spacing w:line="400" w:lineRule="exact"/>
              <w:jc w:val="center"/>
              <w:rPr>
                <w:rFonts w:hint="eastAsia" w:ascii="仿宋" w:hAnsi="仿宋" w:eastAsia="仿宋" w:cs="仿宋"/>
                <w:bCs/>
                <w:sz w:val="28"/>
                <w:szCs w:val="28"/>
                <w:highlight w:val="none"/>
              </w:rPr>
            </w:pPr>
          </w:p>
        </w:tc>
        <w:tc>
          <w:tcPr>
            <w:tcW w:w="1124" w:type="dxa"/>
            <w:tcBorders>
              <w:left w:val="single" w:color="auto" w:sz="2" w:space="0"/>
            </w:tcBorders>
            <w:noWrap w:val="0"/>
            <w:vAlign w:val="center"/>
          </w:tcPr>
          <w:p>
            <w:pPr>
              <w:snapToGrid w:val="0"/>
              <w:spacing w:line="400" w:lineRule="exact"/>
              <w:jc w:val="center"/>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eastAsia="zh-CN"/>
              </w:rPr>
              <w:t>理赔服务方案</w:t>
            </w:r>
          </w:p>
        </w:tc>
        <w:tc>
          <w:tcPr>
            <w:tcW w:w="843" w:type="dxa"/>
            <w:noWrap w:val="0"/>
            <w:vAlign w:val="center"/>
          </w:tcPr>
          <w:p>
            <w:pPr>
              <w:snapToGrid w:val="0"/>
              <w:spacing w:line="400" w:lineRule="exact"/>
              <w:jc w:val="center"/>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20</w:t>
            </w:r>
          </w:p>
        </w:tc>
        <w:tc>
          <w:tcPr>
            <w:tcW w:w="5978" w:type="dxa"/>
            <w:noWrap w:val="0"/>
            <w:vAlign w:val="center"/>
          </w:tcPr>
          <w:p>
            <w:pPr>
              <w:snapToGrid w:val="0"/>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eastAsia="zh-CN"/>
              </w:rPr>
              <w:t>投标人</w:t>
            </w:r>
            <w:r>
              <w:rPr>
                <w:rFonts w:hint="eastAsia" w:ascii="仿宋" w:hAnsi="仿宋" w:eastAsia="仿宋" w:cs="仿宋"/>
                <w:bCs/>
                <w:sz w:val="28"/>
                <w:szCs w:val="28"/>
                <w:highlight w:val="none"/>
              </w:rPr>
              <w:t>建立车辆受损理赔管理制度。包括理赔程序、受理报案服务、现场查勘、施救措施及伤员抢救、援助服务、援救服务，提供道路交通事故法律援助服务，定损权限，赔付时限服务，出险车辆处理，车辆赔付等服务</w:t>
            </w:r>
            <w:r>
              <w:rPr>
                <w:rFonts w:hint="eastAsia" w:ascii="仿宋" w:hAnsi="仿宋" w:eastAsia="仿宋" w:cs="仿宋"/>
                <w:bCs/>
                <w:sz w:val="28"/>
                <w:szCs w:val="28"/>
                <w:highlight w:val="none"/>
                <w:lang w:eastAsia="zh-CN"/>
              </w:rPr>
              <w:t>等内容</w:t>
            </w:r>
          </w:p>
          <w:p>
            <w:pPr>
              <w:snapToGrid w:val="0"/>
              <w:spacing w:line="400" w:lineRule="exac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第一档，科学合理，内容详细，得</w:t>
            </w:r>
            <w:r>
              <w:rPr>
                <w:rFonts w:hint="eastAsia" w:ascii="仿宋" w:hAnsi="仿宋" w:eastAsia="仿宋" w:cs="仿宋"/>
                <w:bCs/>
                <w:sz w:val="28"/>
                <w:szCs w:val="28"/>
                <w:highlight w:val="none"/>
              </w:rPr>
              <w:t>18.01-20</w:t>
            </w:r>
            <w:r>
              <w:rPr>
                <w:rFonts w:hint="eastAsia" w:ascii="仿宋" w:hAnsi="仿宋" w:eastAsia="仿宋" w:cs="仿宋"/>
                <w:bCs/>
                <w:sz w:val="28"/>
                <w:szCs w:val="28"/>
                <w:highlight w:val="none"/>
                <w:lang w:val="en-US" w:eastAsia="zh-CN"/>
              </w:rPr>
              <w:t>分；</w:t>
            </w:r>
          </w:p>
          <w:p>
            <w:pPr>
              <w:snapToGrid w:val="0"/>
              <w:spacing w:line="400" w:lineRule="exac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第二档，较科学合理，内容较详细，得</w:t>
            </w:r>
            <w:r>
              <w:rPr>
                <w:rFonts w:hint="eastAsia" w:ascii="仿宋" w:hAnsi="仿宋" w:eastAsia="仿宋" w:cs="仿宋"/>
                <w:bCs/>
                <w:sz w:val="28"/>
                <w:szCs w:val="28"/>
                <w:highlight w:val="none"/>
              </w:rPr>
              <w:t>15.01-18</w:t>
            </w:r>
            <w:r>
              <w:rPr>
                <w:rFonts w:hint="eastAsia" w:ascii="仿宋" w:hAnsi="仿宋" w:eastAsia="仿宋" w:cs="仿宋"/>
                <w:bCs/>
                <w:sz w:val="28"/>
                <w:szCs w:val="28"/>
                <w:highlight w:val="none"/>
                <w:lang w:val="en-US" w:eastAsia="zh-CN"/>
              </w:rPr>
              <w:t>分；</w:t>
            </w:r>
          </w:p>
          <w:p>
            <w:pPr>
              <w:snapToGrid w:val="0"/>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第三档，基本合理，内容过于简单，得</w:t>
            </w:r>
            <w:r>
              <w:rPr>
                <w:rFonts w:hint="eastAsia" w:ascii="仿宋" w:hAnsi="仿宋" w:eastAsia="仿宋" w:cs="仿宋"/>
                <w:bCs/>
                <w:sz w:val="28"/>
                <w:szCs w:val="28"/>
                <w:highlight w:val="none"/>
              </w:rPr>
              <w:t>12-15</w:t>
            </w:r>
            <w:r>
              <w:rPr>
                <w:rFonts w:hint="eastAsia" w:ascii="仿宋" w:hAnsi="仿宋" w:eastAsia="仿宋" w:cs="仿宋"/>
                <w:bCs/>
                <w:sz w:val="28"/>
                <w:szCs w:val="28"/>
                <w:highlight w:val="none"/>
                <w:lang w:val="en-US" w:eastAsia="zh-CN"/>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61" w:hRule="atLeast"/>
          <w:jc w:val="center"/>
        </w:trPr>
        <w:tc>
          <w:tcPr>
            <w:tcW w:w="735" w:type="dxa"/>
            <w:vMerge w:val="continue"/>
            <w:tcBorders>
              <w:right w:val="single" w:color="auto" w:sz="2" w:space="0"/>
            </w:tcBorders>
            <w:noWrap w:val="0"/>
            <w:vAlign w:val="center"/>
          </w:tcPr>
          <w:p>
            <w:pPr>
              <w:snapToGrid w:val="0"/>
              <w:spacing w:line="400" w:lineRule="exact"/>
              <w:jc w:val="center"/>
              <w:rPr>
                <w:rFonts w:hint="eastAsia" w:ascii="仿宋" w:hAnsi="仿宋" w:eastAsia="仿宋" w:cs="仿宋"/>
                <w:bCs/>
                <w:w w:val="90"/>
                <w:sz w:val="28"/>
                <w:szCs w:val="28"/>
                <w:highlight w:val="none"/>
              </w:rPr>
            </w:pPr>
          </w:p>
        </w:tc>
        <w:tc>
          <w:tcPr>
            <w:tcW w:w="1030" w:type="dxa"/>
            <w:vMerge w:val="continue"/>
            <w:tcBorders>
              <w:left w:val="single" w:color="auto" w:sz="2" w:space="0"/>
              <w:right w:val="single" w:color="auto" w:sz="2" w:space="0"/>
            </w:tcBorders>
            <w:noWrap w:val="0"/>
            <w:vAlign w:val="center"/>
          </w:tcPr>
          <w:p>
            <w:pPr>
              <w:snapToGrid w:val="0"/>
              <w:spacing w:line="400" w:lineRule="exact"/>
              <w:jc w:val="center"/>
              <w:rPr>
                <w:rFonts w:hint="eastAsia" w:ascii="仿宋" w:hAnsi="仿宋" w:eastAsia="仿宋" w:cs="仿宋"/>
                <w:bCs/>
                <w:sz w:val="28"/>
                <w:szCs w:val="28"/>
                <w:highlight w:val="none"/>
              </w:rPr>
            </w:pPr>
          </w:p>
        </w:tc>
        <w:tc>
          <w:tcPr>
            <w:tcW w:w="1124" w:type="dxa"/>
            <w:tcBorders>
              <w:left w:val="single" w:color="auto" w:sz="2" w:space="0"/>
            </w:tcBorders>
            <w:noWrap w:val="0"/>
            <w:vAlign w:val="center"/>
          </w:tcPr>
          <w:p>
            <w:pPr>
              <w:snapToGrid w:val="0"/>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人员配置及服务团队</w:t>
            </w:r>
          </w:p>
        </w:tc>
        <w:tc>
          <w:tcPr>
            <w:tcW w:w="843" w:type="dxa"/>
            <w:noWrap w:val="0"/>
            <w:vAlign w:val="center"/>
          </w:tcPr>
          <w:p>
            <w:pPr>
              <w:snapToGrid w:val="0"/>
              <w:spacing w:line="400" w:lineRule="exact"/>
              <w:jc w:val="center"/>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20</w:t>
            </w:r>
          </w:p>
        </w:tc>
        <w:tc>
          <w:tcPr>
            <w:tcW w:w="5978" w:type="dxa"/>
            <w:noWrap w:val="0"/>
            <w:vAlign w:val="center"/>
          </w:tcPr>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根据投标人项目实施团队的组织机构和人员配备优劣进行比较打分：</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第一档，组织管理机构完善、合理，团队人员构成专业性强、经验丰富符合项目特点的，得18.01-20分；</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第二档，组织管理机构健全、合理，团队人员构成和专业性较好，相关经验较丰富，符合项目需求的，得15.01-18分； </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第三档，组织管理机构和人员构成基本合理，专业性和相关经验有欠缺或低于其他档次投标人，得12-15分。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continue"/>
            <w:tcBorders>
              <w:right w:val="single" w:color="auto" w:sz="2" w:space="0"/>
            </w:tcBorders>
            <w:noWrap w:val="0"/>
            <w:vAlign w:val="center"/>
          </w:tcPr>
          <w:p>
            <w:pPr>
              <w:snapToGrid w:val="0"/>
              <w:spacing w:line="400" w:lineRule="exact"/>
              <w:jc w:val="center"/>
              <w:rPr>
                <w:rFonts w:hint="eastAsia" w:ascii="仿宋" w:hAnsi="仿宋" w:eastAsia="仿宋" w:cs="仿宋"/>
                <w:bCs/>
                <w:w w:val="90"/>
                <w:sz w:val="28"/>
                <w:szCs w:val="28"/>
                <w:highlight w:val="none"/>
              </w:rPr>
            </w:pPr>
          </w:p>
        </w:tc>
        <w:tc>
          <w:tcPr>
            <w:tcW w:w="1030" w:type="dxa"/>
            <w:vMerge w:val="continue"/>
            <w:tcBorders>
              <w:left w:val="single" w:color="auto" w:sz="2" w:space="0"/>
              <w:right w:val="single" w:color="auto" w:sz="2" w:space="0"/>
            </w:tcBorders>
            <w:noWrap w:val="0"/>
            <w:vAlign w:val="center"/>
          </w:tcPr>
          <w:p>
            <w:pPr>
              <w:snapToGrid w:val="0"/>
              <w:spacing w:line="400" w:lineRule="exact"/>
              <w:jc w:val="center"/>
              <w:rPr>
                <w:rFonts w:hint="eastAsia" w:ascii="仿宋" w:hAnsi="仿宋" w:eastAsia="仿宋" w:cs="仿宋"/>
                <w:bCs/>
                <w:sz w:val="28"/>
                <w:szCs w:val="28"/>
                <w:highlight w:val="none"/>
              </w:rPr>
            </w:pPr>
          </w:p>
        </w:tc>
        <w:tc>
          <w:tcPr>
            <w:tcW w:w="1124" w:type="dxa"/>
            <w:tcBorders>
              <w:left w:val="single" w:color="auto" w:sz="2" w:space="0"/>
            </w:tcBorders>
            <w:noWrap w:val="0"/>
            <w:vAlign w:val="center"/>
          </w:tcPr>
          <w:p>
            <w:pPr>
              <w:snapToGrid w:val="0"/>
              <w:spacing w:line="400" w:lineRule="exact"/>
              <w:jc w:val="center"/>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后续服务</w:t>
            </w:r>
            <w:r>
              <w:rPr>
                <w:rFonts w:hint="eastAsia" w:ascii="仿宋" w:hAnsi="仿宋" w:eastAsia="仿宋" w:cs="仿宋"/>
                <w:bCs/>
                <w:sz w:val="28"/>
                <w:szCs w:val="28"/>
                <w:highlight w:val="none"/>
                <w:lang w:eastAsia="zh-CN"/>
              </w:rPr>
              <w:t>、增值服务承诺</w:t>
            </w:r>
          </w:p>
        </w:tc>
        <w:tc>
          <w:tcPr>
            <w:tcW w:w="843" w:type="dxa"/>
            <w:noWrap w:val="0"/>
            <w:vAlign w:val="center"/>
          </w:tcPr>
          <w:p>
            <w:pPr>
              <w:snapToGrid w:val="0"/>
              <w:spacing w:line="400" w:lineRule="exact"/>
              <w:jc w:val="center"/>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10</w:t>
            </w:r>
          </w:p>
        </w:tc>
        <w:tc>
          <w:tcPr>
            <w:tcW w:w="5978" w:type="dxa"/>
            <w:noWrap w:val="0"/>
            <w:vAlign w:val="center"/>
          </w:tcPr>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根据</w:t>
            </w:r>
            <w:r>
              <w:rPr>
                <w:rFonts w:hint="eastAsia" w:ascii="仿宋" w:hAnsi="仿宋" w:eastAsia="仿宋" w:cs="仿宋"/>
                <w:bCs/>
                <w:sz w:val="28"/>
                <w:szCs w:val="28"/>
                <w:highlight w:val="none"/>
                <w:lang w:eastAsia="zh-CN"/>
              </w:rPr>
              <w:t>投标人</w:t>
            </w:r>
            <w:r>
              <w:rPr>
                <w:rFonts w:hint="eastAsia" w:ascii="仿宋" w:hAnsi="仿宋" w:eastAsia="仿宋" w:cs="仿宋"/>
                <w:bCs/>
                <w:sz w:val="28"/>
                <w:szCs w:val="28"/>
                <w:highlight w:val="none"/>
              </w:rPr>
              <w:t>提供</w:t>
            </w:r>
            <w:r>
              <w:rPr>
                <w:rFonts w:hint="eastAsia" w:ascii="仿宋" w:hAnsi="仿宋" w:eastAsia="仿宋" w:cs="仿宋"/>
                <w:bCs/>
                <w:sz w:val="28"/>
                <w:szCs w:val="28"/>
                <w:highlight w:val="none"/>
                <w:lang w:eastAsia="zh-CN"/>
              </w:rPr>
              <w:t>的后续服务、</w:t>
            </w:r>
            <w:r>
              <w:rPr>
                <w:rFonts w:hint="eastAsia" w:ascii="仿宋" w:hAnsi="仿宋" w:eastAsia="仿宋" w:cs="仿宋"/>
                <w:bCs/>
                <w:sz w:val="28"/>
                <w:szCs w:val="28"/>
                <w:highlight w:val="none"/>
              </w:rPr>
              <w:t>增值服务的合理性与可行性酌情打分</w:t>
            </w:r>
          </w:p>
          <w:p>
            <w:pPr>
              <w:snapToGrid w:val="0"/>
              <w:spacing w:line="400" w:lineRule="exac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第一档，科学合理，内容详细，得</w:t>
            </w:r>
            <w:r>
              <w:rPr>
                <w:rFonts w:hint="eastAsia" w:ascii="仿宋" w:hAnsi="仿宋" w:eastAsia="仿宋" w:cs="仿宋"/>
                <w:bCs/>
                <w:sz w:val="28"/>
                <w:szCs w:val="28"/>
                <w:highlight w:val="none"/>
              </w:rPr>
              <w:t>9.01-10</w:t>
            </w:r>
            <w:r>
              <w:rPr>
                <w:rFonts w:hint="eastAsia" w:ascii="仿宋" w:hAnsi="仿宋" w:eastAsia="仿宋" w:cs="仿宋"/>
                <w:bCs/>
                <w:sz w:val="28"/>
                <w:szCs w:val="28"/>
                <w:highlight w:val="none"/>
                <w:lang w:val="en-US" w:eastAsia="zh-CN"/>
              </w:rPr>
              <w:t>分；</w:t>
            </w:r>
          </w:p>
          <w:p>
            <w:pPr>
              <w:snapToGrid w:val="0"/>
              <w:spacing w:line="400" w:lineRule="exac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第二档，较科学合理，内容较详细，得</w:t>
            </w:r>
            <w:r>
              <w:rPr>
                <w:rFonts w:hint="eastAsia" w:ascii="仿宋" w:hAnsi="仿宋" w:eastAsia="仿宋" w:cs="仿宋"/>
                <w:bCs/>
                <w:sz w:val="28"/>
                <w:szCs w:val="28"/>
                <w:highlight w:val="none"/>
              </w:rPr>
              <w:t>7.51-9</w:t>
            </w:r>
            <w:r>
              <w:rPr>
                <w:rFonts w:hint="eastAsia" w:ascii="仿宋" w:hAnsi="仿宋" w:eastAsia="仿宋" w:cs="仿宋"/>
                <w:bCs/>
                <w:sz w:val="28"/>
                <w:szCs w:val="28"/>
                <w:highlight w:val="none"/>
                <w:lang w:val="en-US" w:eastAsia="zh-CN"/>
              </w:rPr>
              <w:t>分；</w:t>
            </w:r>
          </w:p>
          <w:p>
            <w:pPr>
              <w:snapToGrid w:val="0"/>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第三档，基本合理，内容过于简单，得</w:t>
            </w:r>
            <w:r>
              <w:rPr>
                <w:rFonts w:hint="eastAsia" w:ascii="仿宋" w:hAnsi="仿宋" w:eastAsia="仿宋" w:cs="仿宋"/>
                <w:bCs/>
                <w:sz w:val="28"/>
                <w:szCs w:val="28"/>
                <w:highlight w:val="none"/>
              </w:rPr>
              <w:t>6-7.5</w:t>
            </w:r>
            <w:r>
              <w:rPr>
                <w:rFonts w:hint="eastAsia" w:ascii="仿宋" w:hAnsi="仿宋" w:eastAsia="仿宋" w:cs="仿宋"/>
                <w:bCs/>
                <w:sz w:val="28"/>
                <w:szCs w:val="28"/>
                <w:highlight w:val="none"/>
                <w:lang w:val="en-US" w:eastAsia="zh-CN"/>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tcBorders>
              <w:right w:val="single" w:color="auto" w:sz="2" w:space="0"/>
            </w:tcBorders>
            <w:noWrap w:val="0"/>
            <w:vAlign w:val="center"/>
          </w:tcPr>
          <w:p>
            <w:pPr>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3</w:t>
            </w:r>
          </w:p>
        </w:tc>
        <w:tc>
          <w:tcPr>
            <w:tcW w:w="2154" w:type="dxa"/>
            <w:gridSpan w:val="2"/>
            <w:tcBorders>
              <w:left w:val="single" w:color="auto" w:sz="2" w:space="0"/>
            </w:tcBorders>
            <w:noWrap w:val="0"/>
            <w:vAlign w:val="center"/>
          </w:tcPr>
          <w:p>
            <w:pPr>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评标价</w:t>
            </w:r>
          </w:p>
        </w:tc>
        <w:tc>
          <w:tcPr>
            <w:tcW w:w="843" w:type="dxa"/>
            <w:noWrap w:val="0"/>
            <w:vAlign w:val="center"/>
          </w:tcPr>
          <w:p>
            <w:pPr>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10分</w:t>
            </w:r>
          </w:p>
        </w:tc>
        <w:tc>
          <w:tcPr>
            <w:tcW w:w="5978" w:type="dxa"/>
            <w:noWrap w:val="0"/>
            <w:vAlign w:val="center"/>
          </w:tcPr>
          <w:p>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评标价得分计算公式示例：</w:t>
            </w:r>
          </w:p>
          <w:p>
            <w:pPr>
              <w:spacing w:line="400" w:lineRule="exact"/>
              <w:ind w:firstLine="324" w:firstLineChars="116"/>
              <w:rPr>
                <w:rFonts w:hint="eastAsia" w:ascii="仿宋" w:hAnsi="仿宋" w:eastAsia="仿宋" w:cs="仿宋"/>
                <w:sz w:val="28"/>
                <w:szCs w:val="28"/>
                <w:highlight w:val="none"/>
              </w:rPr>
            </w:pPr>
            <w:r>
              <w:rPr>
                <w:rFonts w:hint="eastAsia" w:ascii="仿宋" w:hAnsi="仿宋" w:eastAsia="仿宋" w:cs="仿宋"/>
                <w:sz w:val="28"/>
                <w:szCs w:val="28"/>
                <w:highlight w:val="none"/>
              </w:rPr>
              <w:t>（1）如果投标人的评标价＞评标基准价，则评标价得分=F-（投标人评标价-评标基准价）/评标基准价×100×E1；</w:t>
            </w:r>
          </w:p>
          <w:p>
            <w:pPr>
              <w:spacing w:line="400" w:lineRule="exact"/>
              <w:ind w:firstLine="324" w:firstLineChars="116"/>
              <w:rPr>
                <w:rFonts w:hint="eastAsia" w:ascii="仿宋" w:hAnsi="仿宋" w:eastAsia="仿宋" w:cs="仿宋"/>
                <w:sz w:val="28"/>
                <w:szCs w:val="28"/>
                <w:highlight w:val="none"/>
              </w:rPr>
            </w:pPr>
            <w:r>
              <w:rPr>
                <w:rFonts w:hint="eastAsia" w:ascii="仿宋" w:hAnsi="仿宋" w:eastAsia="仿宋" w:cs="仿宋"/>
                <w:sz w:val="28"/>
                <w:szCs w:val="28"/>
                <w:highlight w:val="none"/>
              </w:rPr>
              <w:t>（2）如果投标人的评标价≤评标基准价，则评标价得分=F+(投标人评标价-评标基准价)/评标基准价×100×E2。</w:t>
            </w:r>
          </w:p>
          <w:p>
            <w:pPr>
              <w:spacing w:line="400" w:lineRule="exact"/>
              <w:ind w:firstLine="324" w:firstLineChars="116"/>
              <w:rPr>
                <w:rFonts w:hint="eastAsia" w:ascii="仿宋" w:hAnsi="仿宋" w:eastAsia="仿宋" w:cs="仿宋"/>
                <w:bCs/>
                <w:sz w:val="28"/>
                <w:szCs w:val="28"/>
                <w:highlight w:val="none"/>
              </w:rPr>
            </w:pPr>
            <w:r>
              <w:rPr>
                <w:rFonts w:hint="eastAsia" w:ascii="仿宋" w:hAnsi="仿宋" w:eastAsia="仿宋" w:cs="仿宋"/>
                <w:sz w:val="28"/>
                <w:szCs w:val="28"/>
                <w:highlight w:val="none"/>
              </w:rPr>
              <w:t>其中，F=10；E1=0.</w:t>
            </w:r>
            <w:r>
              <w:rPr>
                <w:rFonts w:ascii="仿宋" w:hAnsi="仿宋" w:eastAsia="仿宋" w:cs="仿宋"/>
                <w:sz w:val="28"/>
                <w:szCs w:val="28"/>
                <w:highlight w:val="none"/>
              </w:rPr>
              <w:t>2</w:t>
            </w:r>
            <w:r>
              <w:rPr>
                <w:rFonts w:hint="eastAsia" w:ascii="仿宋" w:hAnsi="仿宋" w:eastAsia="仿宋" w:cs="仿宋"/>
                <w:sz w:val="28"/>
                <w:szCs w:val="28"/>
                <w:highlight w:val="none"/>
              </w:rPr>
              <w:t>；E2=0.</w:t>
            </w:r>
            <w:r>
              <w:rPr>
                <w:rFonts w:ascii="仿宋" w:hAnsi="仿宋" w:eastAsia="仿宋" w:cs="仿宋"/>
                <w:sz w:val="28"/>
                <w:szCs w:val="28"/>
                <w:highlight w:val="none"/>
              </w:rPr>
              <w:t>1</w:t>
            </w:r>
            <w:r>
              <w:rPr>
                <w:rFonts w:hint="eastAsia" w:ascii="仿宋" w:hAnsi="仿宋" w:eastAsia="仿宋" w:cs="仿宋"/>
                <w:sz w:val="28"/>
                <w:szCs w:val="28"/>
                <w:highlight w:val="none"/>
              </w:rPr>
              <w:t>；评标价最低得分为0分。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2889" w:type="dxa"/>
            <w:gridSpan w:val="3"/>
            <w:noWrap w:val="0"/>
            <w:vAlign w:val="center"/>
          </w:tcPr>
          <w:p>
            <w:pPr>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合计</w:t>
            </w:r>
          </w:p>
        </w:tc>
        <w:tc>
          <w:tcPr>
            <w:tcW w:w="843" w:type="dxa"/>
            <w:noWrap w:val="0"/>
            <w:vAlign w:val="center"/>
          </w:tcPr>
          <w:p>
            <w:pPr>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100分</w:t>
            </w:r>
          </w:p>
        </w:tc>
        <w:tc>
          <w:tcPr>
            <w:tcW w:w="5978" w:type="dxa"/>
            <w:noWrap w:val="0"/>
            <w:vAlign w:val="center"/>
          </w:tcPr>
          <w:p>
            <w:pPr>
              <w:spacing w:line="400" w:lineRule="exact"/>
              <w:jc w:val="center"/>
              <w:rPr>
                <w:rFonts w:hint="eastAsia" w:ascii="仿宋" w:hAnsi="仿宋" w:eastAsia="仿宋" w:cs="仿宋"/>
                <w:bCs/>
                <w:sz w:val="28"/>
                <w:szCs w:val="28"/>
                <w:highlight w:val="none"/>
              </w:rPr>
            </w:pPr>
          </w:p>
        </w:tc>
      </w:tr>
    </w:tbl>
    <w:p>
      <w:pPr>
        <w:widowControl/>
        <w:snapToGrid w:val="0"/>
        <w:spacing w:line="300" w:lineRule="auto"/>
        <w:jc w:val="left"/>
        <w:rPr>
          <w:rFonts w:hint="eastAsia" w:ascii="仿宋" w:hAnsi="仿宋" w:eastAsia="仿宋" w:cs="仿宋"/>
          <w:sz w:val="28"/>
          <w:szCs w:val="32"/>
          <w:highlight w:val="none"/>
        </w:rPr>
      </w:pPr>
      <w:r>
        <w:rPr>
          <w:rFonts w:hint="eastAsia" w:ascii="仿宋" w:hAnsi="仿宋" w:eastAsia="仿宋" w:cs="仿宋"/>
          <w:color w:val="000000"/>
          <w:kern w:val="0"/>
          <w:sz w:val="28"/>
          <w:szCs w:val="28"/>
          <w:highlight w:val="none"/>
          <w:lang w:bidi="ar"/>
        </w:rPr>
        <w:t>注：1、各评分因素得分应以评标委员会各成员的打分平均值确定，保留两位小数，第三位四舍五入。</w:t>
      </w:r>
    </w:p>
    <w:p>
      <w:pPr>
        <w:snapToGrid w:val="0"/>
        <w:spacing w:line="360" w:lineRule="auto"/>
        <w:jc w:val="left"/>
        <w:rPr>
          <w:rFonts w:hint="eastAsia" w:ascii="仿宋" w:hAnsi="仿宋" w:eastAsia="仿宋" w:cs="仿宋"/>
          <w:highlight w:val="none"/>
        </w:rPr>
      </w:pPr>
      <w:r>
        <w:rPr>
          <w:rFonts w:hint="eastAsia" w:ascii="仿宋" w:hAnsi="仿宋" w:eastAsia="仿宋" w:cs="仿宋"/>
          <w:color w:val="000000"/>
          <w:kern w:val="0"/>
          <w:sz w:val="28"/>
          <w:szCs w:val="28"/>
          <w:highlight w:val="none"/>
          <w:lang w:bidi="ar"/>
        </w:rPr>
        <w:t>2、</w:t>
      </w:r>
      <w:r>
        <w:rPr>
          <w:rFonts w:hint="eastAsia" w:ascii="仿宋" w:hAnsi="仿宋" w:eastAsia="仿宋" w:cs="仿宋"/>
          <w:kern w:val="0"/>
          <w:sz w:val="28"/>
          <w:szCs w:val="28"/>
          <w:highlight w:val="none"/>
        </w:rPr>
        <w:t>服务方案</w:t>
      </w:r>
      <w:r>
        <w:rPr>
          <w:rFonts w:hint="eastAsia" w:ascii="仿宋" w:hAnsi="仿宋" w:eastAsia="仿宋" w:cs="仿宋"/>
          <w:color w:val="000000"/>
          <w:kern w:val="0"/>
          <w:sz w:val="28"/>
          <w:szCs w:val="28"/>
          <w:highlight w:val="none"/>
          <w:lang w:bidi="ar"/>
        </w:rPr>
        <w:t>评分因素细分项存在缺项的，则该项计0分</w:t>
      </w:r>
      <w:r>
        <w:rPr>
          <w:rFonts w:hint="eastAsia" w:ascii="仿宋" w:hAnsi="仿宋" w:eastAsia="仿宋" w:cs="仿宋"/>
          <w:sz w:val="28"/>
          <w:szCs w:val="28"/>
          <w:highlight w:val="none"/>
        </w:rPr>
        <w:t>。</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ZDdmOWYzMWQ1MjQ2NDg5NWRkZWIwNzU3ZGE1MWIifQ=="/>
  </w:docVars>
  <w:rsids>
    <w:rsidRoot w:val="2C570CDF"/>
    <w:rsid w:val="2C570CDF"/>
    <w:rsid w:val="66414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28"/>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eastAsia="宋体"/>
      <w:kern w:val="0"/>
      <w:sz w:val="28"/>
      <w:szCs w:val="24"/>
    </w:rPr>
  </w:style>
  <w:style w:type="paragraph" w:styleId="4">
    <w:name w:val="Body Text 2"/>
    <w:basedOn w:val="1"/>
    <w:next w:val="1"/>
    <w:unhideWhenUsed/>
    <w:qFormat/>
    <w:uiPriority w:val="99"/>
    <w:pPr>
      <w:spacing w:after="120" w:line="480" w:lineRule="auto"/>
    </w:pPr>
  </w:style>
  <w:style w:type="paragraph" w:styleId="5">
    <w:name w:val="Body Text Indent"/>
    <w:basedOn w:val="1"/>
    <w:next w:val="6"/>
    <w:qFormat/>
    <w:uiPriority w:val="0"/>
    <w:pPr>
      <w:ind w:firstLine="480"/>
    </w:pPr>
    <w:rPr>
      <w:rFonts w:ascii="Times New Roman" w:hAnsi="Times New Roman" w:eastAsia="宋体"/>
      <w:kern w:val="0"/>
      <w:sz w:val="24"/>
      <w:szCs w:val="20"/>
    </w:rPr>
  </w:style>
  <w:style w:type="paragraph" w:styleId="6">
    <w:name w:val="envelope return"/>
    <w:basedOn w:val="1"/>
    <w:qFormat/>
    <w:uiPriority w:val="0"/>
    <w:pPr>
      <w:snapToGrid w:val="0"/>
    </w:pPr>
    <w:rPr>
      <w:rFonts w:ascii="Arial" w:hAnsi="Arial"/>
    </w:rPr>
  </w:style>
  <w:style w:type="paragraph" w:styleId="7">
    <w:name w:val="List"/>
    <w:basedOn w:val="1"/>
    <w:qFormat/>
    <w:uiPriority w:val="0"/>
    <w:pPr>
      <w:autoSpaceDE w:val="0"/>
      <w:autoSpaceDN w:val="0"/>
      <w:adjustRightInd w:val="0"/>
      <w:ind w:left="360" w:hanging="360"/>
      <w:jc w:val="left"/>
      <w:textAlignment w:val="baseline"/>
    </w:pPr>
    <w:rPr>
      <w:rFonts w:ascii="宋体"/>
      <w:b/>
      <w:kern w:val="0"/>
      <w:sz w:val="20"/>
      <w:szCs w:val="20"/>
    </w:rPr>
  </w:style>
  <w:style w:type="paragraph" w:styleId="8">
    <w:name w:val="Body Text First Indent 2"/>
    <w:basedOn w:val="5"/>
    <w:next w:val="7"/>
    <w:qFormat/>
    <w:uiPriority w:val="99"/>
    <w:pPr>
      <w:ind w:firstLine="420" w:firstLineChars="200"/>
    </w:pPr>
    <w:rPr>
      <w:color w:val="000000"/>
    </w:rPr>
  </w:style>
  <w:style w:type="character" w:customStyle="1" w:styleId="11">
    <w:name w:val="NormalCharacter"/>
    <w:qFormat/>
    <w:uiPriority w:val="0"/>
    <w:rPr>
      <w:rFonts w:ascii="Times New Roman" w:hAnsi="Times New Roman" w:eastAsia="宋体" w:cs="Times New Roman"/>
    </w:rPr>
  </w:style>
  <w:style w:type="character" w:customStyle="1" w:styleId="12">
    <w:name w:val="目录4 Char"/>
    <w:qFormat/>
    <w:uiPriority w:val="0"/>
    <w:rPr>
      <w:rFonts w:ascii="黑体" w:eastAsia="黑体"/>
      <w:kern w:val="2"/>
      <w:sz w:val="24"/>
      <w:szCs w:val="24"/>
      <w:lang w:val="en-US" w:eastAsia="zh-CN" w:bidi="ar-SA"/>
    </w:rPr>
  </w:style>
  <w:style w:type="character" w:customStyle="1" w:styleId="13">
    <w:name w:val="目录4 Char Char"/>
    <w:uiPriority w:val="0"/>
    <w:rPr>
      <w:rFonts w:ascii="黑体" w:eastAsia="黑体"/>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4538</Words>
  <Characters>4908</Characters>
  <Lines>0</Lines>
  <Paragraphs>0</Paragraphs>
  <TotalTime>1</TotalTime>
  <ScaleCrop>false</ScaleCrop>
  <LinksUpToDate>false</LinksUpToDate>
  <CharactersWithSpaces>4986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2023-01-10T01:54:00Z</dcterms:created>
  <dc:creator>Administrator</dc:creator>
  <cp:lastModifiedBy>AOWEN</cp:lastModifiedBy>
  <dcterms:modified xsi:type="dcterms:W3CDTF">2023-01-10T06:26:12Z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5B5BFE96886B4279B09C8600E9ACE45D</vt:lpwstr>
  </property>
</Properties>
</file>