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 w:hAnsi="仿宋" w:eastAsia="仿宋" w:cs="仿宋"/>
          <w:b/>
          <w:kern w:val="28"/>
          <w:sz w:val="32"/>
          <w:highlight w:val="none"/>
        </w:rPr>
      </w:pPr>
      <w:bookmarkStart w:id="0" w:name="_GoBack"/>
      <w:bookmarkEnd w:id="0"/>
      <w:r>
        <w:rPr>
          <w:rFonts w:hint="eastAsia" w:ascii="仿宋" w:hAnsi="仿宋" w:eastAsia="仿宋" w:cs="仿宋"/>
          <w:b/>
          <w:kern w:val="28"/>
          <w:sz w:val="32"/>
          <w:highlight w:val="none"/>
        </w:rPr>
        <w:t>附件1： 资格审查条件</w:t>
      </w:r>
    </w:p>
    <w:p>
      <w:pPr>
        <w:adjustRightInd w:val="0"/>
        <w:spacing w:line="400" w:lineRule="exact"/>
        <w:jc w:val="center"/>
        <w:rPr>
          <w:rFonts w:hint="eastAsia" w:ascii="仿宋" w:hAnsi="仿宋" w:eastAsia="仿宋" w:cs="仿宋"/>
          <w:b/>
          <w:kern w:val="28"/>
          <w:sz w:val="32"/>
          <w:szCs w:val="32"/>
          <w:highlight w:val="none"/>
        </w:rPr>
      </w:pPr>
    </w:p>
    <w:p>
      <w:pPr>
        <w:spacing w:line="360" w:lineRule="auto"/>
        <w:jc w:val="center"/>
        <w:rPr>
          <w:rStyle w:val="11"/>
          <w:rFonts w:hint="eastAsia" w:ascii="仿宋" w:hAnsi="仿宋" w:eastAsia="仿宋" w:cs="仿宋"/>
          <w:b/>
          <w:sz w:val="32"/>
          <w:szCs w:val="32"/>
          <w:highlight w:val="none"/>
        </w:rPr>
      </w:pPr>
      <w:r>
        <w:rPr>
          <w:rStyle w:val="11"/>
          <w:rFonts w:hint="eastAsia" w:ascii="仿宋" w:hAnsi="仿宋" w:eastAsia="仿宋" w:cs="仿宋"/>
          <w:b/>
          <w:sz w:val="32"/>
          <w:szCs w:val="32"/>
          <w:highlight w:val="none"/>
        </w:rPr>
        <w:t>附录1  资格审查条件（资质最低条件）</w:t>
      </w:r>
    </w:p>
    <w:tbl>
      <w:tblPr>
        <w:tblStyle w:val="8"/>
        <w:tblW w:w="0" w:type="auto"/>
        <w:tblInd w:w="11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322" w:type="dxa"/>
            <w:tcBorders>
              <w:top w:val="single" w:color="auto" w:sz="2" w:space="0"/>
              <w:left w:val="single" w:color="auto" w:sz="2" w:space="0"/>
              <w:bottom w:val="single" w:color="auto" w:sz="6" w:space="0"/>
              <w:right w:val="single" w:color="auto" w:sz="2" w:space="0"/>
            </w:tcBorders>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8"/>
                <w:szCs w:val="28"/>
                <w:highlight w:val="none"/>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93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378" w:firstLineChars="135"/>
              <w:jc w:val="left"/>
              <w:rPr>
                <w:rFonts w:hint="eastAsia" w:ascii="仿宋" w:hAnsi="仿宋" w:eastAsia="仿宋" w:cs="仿宋"/>
                <w:sz w:val="24"/>
                <w:szCs w:val="24"/>
                <w:highlight w:val="none"/>
              </w:rPr>
            </w:pPr>
            <w:r>
              <w:rPr>
                <w:rFonts w:hint="eastAsia" w:ascii="仿宋" w:hAnsi="仿宋" w:eastAsia="仿宋" w:cs="仿宋"/>
                <w:sz w:val="28"/>
                <w:szCs w:val="28"/>
                <w:highlight w:val="none"/>
              </w:rPr>
              <w:t>具备独立法人资格，具有有效企业营业执照、保安服务许可证。</w:t>
            </w:r>
          </w:p>
        </w:tc>
      </w:tr>
    </w:tbl>
    <w:p>
      <w:pPr>
        <w:jc w:val="center"/>
        <w:rPr>
          <w:rStyle w:val="12"/>
          <w:rFonts w:hint="eastAsia" w:ascii="仿宋" w:hAnsi="仿宋" w:eastAsia="仿宋" w:cs="仿宋"/>
          <w:b/>
          <w:sz w:val="32"/>
          <w:szCs w:val="32"/>
          <w:highlight w:val="none"/>
        </w:rPr>
      </w:pPr>
    </w:p>
    <w:p>
      <w:pPr>
        <w:jc w:val="center"/>
        <w:rPr>
          <w:rStyle w:val="12"/>
          <w:rFonts w:hint="eastAsia" w:ascii="仿宋" w:hAnsi="仿宋" w:eastAsia="仿宋" w:cs="仿宋"/>
          <w:b/>
          <w:sz w:val="21"/>
          <w:szCs w:val="21"/>
          <w:highlight w:val="none"/>
        </w:rPr>
      </w:pPr>
      <w:r>
        <w:rPr>
          <w:rStyle w:val="12"/>
          <w:rFonts w:hint="eastAsia" w:ascii="仿宋" w:hAnsi="仿宋" w:eastAsia="仿宋" w:cs="仿宋"/>
          <w:b/>
          <w:sz w:val="32"/>
          <w:szCs w:val="32"/>
          <w:highlight w:val="none"/>
        </w:rPr>
        <w:t>附录2  资格审查条件（</w:t>
      </w:r>
      <w:r>
        <w:rPr>
          <w:rFonts w:hint="eastAsia" w:ascii="仿宋" w:hAnsi="仿宋" w:eastAsia="仿宋" w:cs="仿宋"/>
          <w:b/>
          <w:sz w:val="32"/>
          <w:szCs w:val="28"/>
          <w:highlight w:val="none"/>
        </w:rPr>
        <w:t>业绩最低条件</w:t>
      </w:r>
      <w:r>
        <w:rPr>
          <w:rStyle w:val="12"/>
          <w:rFonts w:hint="eastAsia" w:ascii="仿宋" w:hAnsi="仿宋" w:eastAsia="仿宋" w:cs="仿宋"/>
          <w:b/>
          <w:sz w:val="32"/>
          <w:szCs w:val="32"/>
          <w:highlight w:val="none"/>
        </w:rPr>
        <w:t>）</w:t>
      </w:r>
    </w:p>
    <w:p>
      <w:pPr>
        <w:rPr>
          <w:rFonts w:hint="eastAsia" w:ascii="仿宋" w:hAnsi="仿宋" w:eastAsia="仿宋" w:cs="仿宋"/>
          <w:b/>
          <w:szCs w:val="21"/>
          <w:highlight w:val="none"/>
        </w:rPr>
      </w:pPr>
    </w:p>
    <w:tbl>
      <w:tblPr>
        <w:tblStyle w:val="8"/>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8"/>
                <w:szCs w:val="28"/>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322" w:type="dxa"/>
            <w:noWrap w:val="0"/>
            <w:vAlign w:val="center"/>
          </w:tcPr>
          <w:p>
            <w:pPr>
              <w:widowControl/>
              <w:spacing w:line="360" w:lineRule="auto"/>
              <w:ind w:firstLine="280" w:firstLineChars="100"/>
              <w:jc w:val="left"/>
              <w:rPr>
                <w:rFonts w:hint="eastAsia" w:ascii="仿宋" w:hAnsi="仿宋" w:eastAsia="仿宋" w:cs="仿宋"/>
                <w:sz w:val="24"/>
                <w:szCs w:val="24"/>
                <w:highlight w:val="none"/>
              </w:rPr>
            </w:pPr>
            <w:r>
              <w:rPr>
                <w:rFonts w:hint="eastAsia" w:ascii="仿宋" w:hAnsi="仿宋" w:eastAsia="仿宋" w:cs="仿宋"/>
                <w:sz w:val="28"/>
                <w:szCs w:val="28"/>
                <w:highlight w:val="none"/>
              </w:rPr>
              <w:t>近3年内（2019年12月1日至今，以合同签订时间为准）至少承担过三项劳务外包服务业绩。</w:t>
            </w:r>
          </w:p>
        </w:tc>
      </w:tr>
    </w:tbl>
    <w:p>
      <w:pPr>
        <w:jc w:val="center"/>
        <w:rPr>
          <w:rFonts w:hint="eastAsia" w:ascii="仿宋" w:hAnsi="仿宋" w:eastAsia="仿宋" w:cs="仿宋"/>
          <w:b/>
          <w:sz w:val="32"/>
          <w:szCs w:val="28"/>
          <w:highlight w:val="none"/>
        </w:rPr>
      </w:pPr>
    </w:p>
    <w:p>
      <w:pPr>
        <w:spacing w:line="360" w:lineRule="auto"/>
        <w:jc w:val="center"/>
        <w:rPr>
          <w:rFonts w:hint="eastAsia" w:ascii="仿宋" w:hAnsi="仿宋" w:eastAsia="仿宋" w:cs="仿宋"/>
          <w:b/>
          <w:sz w:val="32"/>
          <w:szCs w:val="28"/>
          <w:highlight w:val="none"/>
        </w:rPr>
      </w:pPr>
    </w:p>
    <w:p>
      <w:pPr>
        <w:spacing w:line="360" w:lineRule="auto"/>
        <w:jc w:val="center"/>
        <w:rPr>
          <w:rFonts w:hint="eastAsia" w:ascii="仿宋" w:hAnsi="仿宋" w:eastAsia="仿宋" w:cs="仿宋"/>
          <w:b/>
          <w:sz w:val="32"/>
          <w:szCs w:val="28"/>
          <w:highlight w:val="none"/>
        </w:rPr>
      </w:pPr>
      <w:r>
        <w:rPr>
          <w:rFonts w:hint="eastAsia" w:ascii="仿宋" w:hAnsi="仿宋" w:eastAsia="仿宋" w:cs="仿宋"/>
          <w:b/>
          <w:sz w:val="32"/>
          <w:szCs w:val="28"/>
          <w:highlight w:val="none"/>
        </w:rPr>
        <w:t>附录3  资格审查条件（信誉最低条件）</w:t>
      </w:r>
    </w:p>
    <w:tbl>
      <w:tblPr>
        <w:tblStyle w:val="8"/>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8"/>
                <w:szCs w:val="28"/>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noWrap w:val="0"/>
            <w:vAlign w:val="center"/>
          </w:tcPr>
          <w:p>
            <w:pPr>
              <w:spacing w:line="360" w:lineRule="auto"/>
              <w:ind w:firstLine="560" w:firstLineChars="200"/>
              <w:jc w:val="left"/>
              <w:rPr>
                <w:rFonts w:hint="eastAsia" w:ascii="仿宋" w:hAnsi="仿宋" w:eastAsia="仿宋" w:cs="仿宋"/>
                <w:sz w:val="24"/>
                <w:szCs w:val="24"/>
                <w:highlight w:val="none"/>
              </w:rPr>
            </w:pPr>
            <w:r>
              <w:rPr>
                <w:rFonts w:hint="eastAsia" w:ascii="仿宋" w:hAnsi="仿宋" w:eastAsia="仿宋" w:cs="仿宋"/>
                <w:sz w:val="28"/>
                <w:szCs w:val="32"/>
                <w:highlight w:val="none"/>
              </w:rPr>
              <w:t>投标人在近1年内(2021年12月1日至今)不曾在</w:t>
            </w:r>
            <w:r>
              <w:rPr>
                <w:rFonts w:hint="eastAsia" w:ascii="仿宋" w:hAnsi="仿宋" w:eastAsia="仿宋" w:cs="仿宋"/>
                <w:sz w:val="28"/>
                <w:szCs w:val="32"/>
                <w:highlight w:val="none"/>
                <w:lang w:val="en-US" w:eastAsia="zh-CN"/>
              </w:rPr>
              <w:t>高速公路劳务外包</w:t>
            </w:r>
            <w:r>
              <w:rPr>
                <w:rFonts w:hint="eastAsia" w:ascii="仿宋" w:hAnsi="仿宋" w:eastAsia="仿宋" w:cs="仿宋"/>
                <w:sz w:val="28"/>
                <w:szCs w:val="32"/>
                <w:highlight w:val="none"/>
              </w:rPr>
              <w:t>合同执行中被驱逐或因投标人自身的原因而使合同被解除。</w:t>
            </w:r>
          </w:p>
        </w:tc>
      </w:tr>
    </w:tbl>
    <w:p>
      <w:pPr>
        <w:tabs>
          <w:tab w:val="left" w:pos="3300"/>
        </w:tabs>
        <w:spacing w:line="360" w:lineRule="auto"/>
        <w:rPr>
          <w:rFonts w:hint="eastAsia" w:ascii="仿宋" w:hAnsi="仿宋" w:eastAsia="仿宋" w:cs="仿宋"/>
          <w:b/>
          <w:sz w:val="32"/>
          <w:szCs w:val="28"/>
          <w:highlight w:val="none"/>
        </w:rPr>
      </w:pPr>
    </w:p>
    <w:p>
      <w:pPr>
        <w:spacing w:line="360" w:lineRule="auto"/>
        <w:rPr>
          <w:rFonts w:hint="eastAsia" w:ascii="仿宋" w:hAnsi="仿宋" w:eastAsia="仿宋" w:cs="仿宋"/>
          <w:b/>
          <w:sz w:val="32"/>
          <w:szCs w:val="28"/>
          <w:highlight w:val="none"/>
        </w:rPr>
      </w:pPr>
    </w:p>
    <w:p>
      <w:pPr>
        <w:spacing w:line="400" w:lineRule="exact"/>
        <w:jc w:val="left"/>
        <w:rPr>
          <w:rFonts w:hint="eastAsia" w:ascii="仿宋" w:hAnsi="仿宋" w:eastAsia="仿宋" w:cs="仿宋"/>
          <w:b/>
          <w:sz w:val="40"/>
          <w:szCs w:val="36"/>
          <w:highlight w:val="none"/>
        </w:rPr>
      </w:pPr>
      <w:r>
        <w:rPr>
          <w:rFonts w:hint="eastAsia" w:ascii="仿宋" w:hAnsi="仿宋" w:eastAsia="仿宋" w:cs="仿宋"/>
          <w:b/>
          <w:kern w:val="28"/>
          <w:sz w:val="24"/>
          <w:szCs w:val="24"/>
          <w:highlight w:val="none"/>
        </w:rPr>
        <w:br w:type="page"/>
      </w:r>
      <w:r>
        <w:rPr>
          <w:rFonts w:hint="eastAsia" w:ascii="仿宋" w:hAnsi="仿宋" w:eastAsia="仿宋" w:cs="仿宋"/>
          <w:b/>
          <w:sz w:val="32"/>
          <w:szCs w:val="28"/>
          <w:highlight w:val="none"/>
        </w:rPr>
        <w:t>评标办法前附表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条款号</w:t>
            </w:r>
          </w:p>
        </w:tc>
        <w:tc>
          <w:tcPr>
            <w:tcW w:w="7197" w:type="dxa"/>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noWrap w:val="0"/>
            <w:vAlign w:val="center"/>
          </w:tcPr>
          <w:p>
            <w:pPr>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1</w:t>
            </w:r>
          </w:p>
        </w:tc>
        <w:tc>
          <w:tcPr>
            <w:tcW w:w="1317" w:type="dxa"/>
            <w:noWrap w:val="0"/>
            <w:vAlign w:val="center"/>
          </w:tcPr>
          <w:p>
            <w:pPr>
              <w:spacing w:line="400" w:lineRule="exact"/>
              <w:jc w:val="center"/>
              <w:rPr>
                <w:rFonts w:hint="eastAsia" w:ascii="仿宋" w:hAnsi="仿宋" w:eastAsia="仿宋" w:cs="仿宋"/>
                <w:b/>
                <w:sz w:val="28"/>
                <w:szCs w:val="32"/>
                <w:highlight w:val="none"/>
              </w:rPr>
            </w:pPr>
            <w:r>
              <w:rPr>
                <w:rFonts w:hint="eastAsia" w:ascii="仿宋" w:hAnsi="仿宋" w:eastAsia="仿宋" w:cs="仿宋"/>
                <w:sz w:val="28"/>
                <w:szCs w:val="28"/>
                <w:highlight w:val="none"/>
              </w:rPr>
              <w:t>评标办法</w:t>
            </w:r>
          </w:p>
        </w:tc>
        <w:tc>
          <w:tcPr>
            <w:tcW w:w="7197" w:type="dxa"/>
            <w:noWrap w:val="0"/>
            <w:vAlign w:val="center"/>
          </w:tcPr>
          <w:p>
            <w:pPr>
              <w:snapToGrid w:val="0"/>
              <w:spacing w:line="400" w:lineRule="exact"/>
              <w:jc w:val="left"/>
              <w:textAlignment w:val="baseline"/>
              <w:rPr>
                <w:rFonts w:hint="eastAsia" w:ascii="仿宋" w:hAnsi="仿宋" w:eastAsia="仿宋" w:cs="仿宋"/>
                <w:sz w:val="28"/>
                <w:szCs w:val="32"/>
                <w:highlight w:val="none"/>
              </w:rPr>
            </w:pPr>
            <w:r>
              <w:rPr>
                <w:rFonts w:hint="eastAsia" w:ascii="仿宋" w:hAnsi="仿宋" w:eastAsia="仿宋" w:cs="仿宋"/>
                <w:sz w:val="28"/>
                <w:szCs w:val="32"/>
                <w:highlight w:val="none"/>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（1）评标价低的投标人优先；</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（2）技术得分较高的投标人优先；</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（3）投标人近3年内满足资格审查条件(业绩最低条件)要求的业绩累计金额高的优先。</w:t>
            </w:r>
          </w:p>
          <w:p>
            <w:pPr>
              <w:pStyle w:val="2"/>
              <w:spacing w:line="400" w:lineRule="exact"/>
              <w:rPr>
                <w:rFonts w:hint="eastAsia" w:ascii="仿宋" w:hAnsi="仿宋" w:eastAsia="仿宋" w:cs="仿宋"/>
                <w:sz w:val="40"/>
                <w:szCs w:val="36"/>
                <w:highlight w:val="none"/>
              </w:rPr>
            </w:pPr>
            <w:r>
              <w:rPr>
                <w:rFonts w:hint="eastAsia" w:ascii="仿宋" w:hAnsi="仿宋" w:eastAsia="仿宋" w:cs="仿宋"/>
                <w:szCs w:val="28"/>
                <w:highlight w:val="none"/>
              </w:rPr>
              <w:t>通过第一信封商务、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2.1.1</w:t>
            </w:r>
          </w:p>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2.1.3</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形式评审与响应性评审标准</w:t>
            </w:r>
          </w:p>
        </w:tc>
        <w:tc>
          <w:tcPr>
            <w:tcW w:w="7197" w:type="dxa"/>
            <w:noWrap w:val="0"/>
            <w:vAlign w:val="top"/>
          </w:tcPr>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第一个信封（商务及技术文件）评审标准:</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（1）投标文件按照招标文件规定的格式、内容填写，字迹清晰可辨：</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a.投标函按招标文件规定填报了项目名称、补遗书编号（如有）、服务期限信息；</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b.投标文件组成齐全完整，内容均按规定填写。</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（2）投标文件上法定代表人或其委托代理人的签字、投标人的单位章盖章齐全，符合招标文件规定。</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（3）投标人按照招标文件的规定提供了投标保证金：</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a.投标保证金金额符合招标文件规定的金额，且投标保证金有效期不少于投标有效期；</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b.若投标保证金采用电汇或转账形式提交，投标人应在递交投标文件截止时间之前，将投标保证金由投标人的基本账户转入招标人指定账户；</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c.若投标保证金采用银行保函形式提交，银行保函的格式、开具保函的银行均满足招标文件要求，且在递交投标文件截止时间之前向招标人提交了银行保函原件。</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 xml:space="preserve">（4）投标人法定代表人授权委托代理人签署投标文件的，须提交授权委托书，授权委托书的签字盖章符合招标文件规定，授权委托书只能授权给一名委托代理人。 </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（5）投标人法定代表人亲自签署投标文件的，提供了法定代表人身份证明，法定代表人身份证明的签字盖章符合招标文件规定。</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（6）投标人未以联合体形式投标。</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（7）投标人未对本项目提出分包计划。</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（8）同一投标人未提交两个以上不同的投标文件。</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（9）投标文件中未出现有关投标报价的内容。</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（10）投标文件载明的招标项目完成期限未超过招标文件规定的时限。</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（11）投标文件对招标文件的实质性要求和条件作出响应。</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（12）权利义务符合招标文件规定：</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a.投标人应接受招标文件规定的风险划分原则，未提出新的风险划分办法；</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b.投标人未增加发包人的责任范围，或减少投标人义务；</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c.投标人未提出不同的支付办法；</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d.投标人对合同纠纷、事故处理办法未提出异议；</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e.投标人在投标活动中无欺诈行为；</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f.投标人未对合同条款有重要保留。</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第二个信封（报价文件）评审标准：</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（1）投标文件按照招标文件规定的格式、内容填写，字迹清晰可辨：</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a.投标函按招标文件规定填报了项目名称、补遗书编号（如有）、投标价（包括大写金额和小写金额）；</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b．投标文件组成齐全完整，内容均按规定填写。</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（2）投标文件上法定代表人或其委托代理人的签字、投标人的单位章盖章齐全，符合招标文件规定。</w:t>
            </w:r>
          </w:p>
          <w:p>
            <w:pPr>
              <w:tabs>
                <w:tab w:val="left" w:pos="3060"/>
              </w:tabs>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（3）投标报价中的报价未超过招标文件设定的最高投标限价。</w:t>
            </w:r>
          </w:p>
          <w:p>
            <w:pPr>
              <w:tabs>
                <w:tab w:val="left" w:pos="3060"/>
              </w:tabs>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（4）投标报价中报价的大写金额能够确定具体数值。</w:t>
            </w:r>
          </w:p>
          <w:p>
            <w:pPr>
              <w:tabs>
                <w:tab w:val="left" w:pos="3060"/>
              </w:tabs>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2.1.2</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资格评审标准</w:t>
            </w:r>
          </w:p>
        </w:tc>
        <w:tc>
          <w:tcPr>
            <w:tcW w:w="7197" w:type="dxa"/>
            <w:noWrap w:val="0"/>
            <w:vAlign w:val="top"/>
          </w:tcPr>
          <w:p>
            <w:pPr>
              <w:tabs>
                <w:tab w:val="left" w:pos="3060"/>
              </w:tabs>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（1）投标人具备有效的营业执照、组织机构代码证（三证合一或五证合一的除外）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保安服务许可证和基本账户开户许可证（或基本存款账户信息）；</w:t>
            </w:r>
          </w:p>
          <w:p>
            <w:pPr>
              <w:pStyle w:val="2"/>
              <w:spacing w:line="400" w:lineRule="exact"/>
              <w:rPr>
                <w:rFonts w:hint="eastAsia" w:ascii="仿宋" w:hAnsi="仿宋" w:eastAsia="仿宋" w:cs="仿宋"/>
                <w:szCs w:val="28"/>
                <w:highlight w:val="none"/>
              </w:rPr>
            </w:pPr>
            <w:r>
              <w:rPr>
                <w:rFonts w:hint="eastAsia" w:ascii="仿宋" w:hAnsi="仿宋" w:eastAsia="仿宋" w:cs="仿宋"/>
                <w:szCs w:val="28"/>
                <w:highlight w:val="none"/>
              </w:rPr>
              <w:t>（2）投标人的类似项目业绩符合招标文件规定；</w:t>
            </w:r>
          </w:p>
          <w:p>
            <w:pPr>
              <w:tabs>
                <w:tab w:val="left" w:pos="3060"/>
              </w:tabs>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（3）投标人的信誉符合招标文件规定；</w:t>
            </w:r>
          </w:p>
          <w:p>
            <w:pPr>
              <w:tabs>
                <w:tab w:val="left" w:pos="3060"/>
              </w:tabs>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（4）投标人不存在第二章“投标人须知”第1.4.3项和1.4.4项规定的任何一种情形。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条款号</w:t>
            </w:r>
          </w:p>
        </w:tc>
        <w:tc>
          <w:tcPr>
            <w:tcW w:w="1317" w:type="dxa"/>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条款内容</w:t>
            </w:r>
          </w:p>
        </w:tc>
        <w:tc>
          <w:tcPr>
            <w:tcW w:w="7197" w:type="dxa"/>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32"/>
                <w:highlight w:val="none"/>
              </w:rPr>
            </w:pPr>
            <w:r>
              <w:rPr>
                <w:rFonts w:hint="eastAsia" w:ascii="仿宋" w:hAnsi="仿宋" w:eastAsia="仿宋" w:cs="仿宋"/>
                <w:sz w:val="28"/>
                <w:szCs w:val="32"/>
                <w:highlight w:val="none"/>
              </w:rPr>
              <w:t>2.2.1</w:t>
            </w:r>
          </w:p>
        </w:tc>
        <w:tc>
          <w:tcPr>
            <w:tcW w:w="1317" w:type="dxa"/>
            <w:noWrap w:val="0"/>
            <w:vAlign w:val="center"/>
          </w:tcPr>
          <w:p>
            <w:pPr>
              <w:adjustRightInd w:val="0"/>
              <w:snapToGrid w:val="0"/>
              <w:spacing w:line="400" w:lineRule="exact"/>
              <w:jc w:val="center"/>
              <w:rPr>
                <w:rFonts w:hint="eastAsia" w:ascii="仿宋" w:hAnsi="仿宋" w:eastAsia="仿宋" w:cs="仿宋"/>
                <w:sz w:val="28"/>
                <w:szCs w:val="32"/>
                <w:highlight w:val="none"/>
              </w:rPr>
            </w:pPr>
            <w:r>
              <w:rPr>
                <w:rFonts w:hint="eastAsia" w:ascii="仿宋" w:hAnsi="仿宋" w:eastAsia="仿宋" w:cs="仿宋"/>
                <w:sz w:val="28"/>
                <w:szCs w:val="32"/>
                <w:highlight w:val="none"/>
              </w:rPr>
              <w:t>分值构成（总分100分）</w:t>
            </w:r>
          </w:p>
        </w:tc>
        <w:tc>
          <w:tcPr>
            <w:tcW w:w="7197" w:type="dxa"/>
            <w:noWrap w:val="0"/>
            <w:vAlign w:val="center"/>
          </w:tcPr>
          <w:p>
            <w:pPr>
              <w:adjustRightInd w:val="0"/>
              <w:snapToGrid w:val="0"/>
              <w:spacing w:line="400" w:lineRule="exact"/>
              <w:rPr>
                <w:rFonts w:hint="eastAsia" w:ascii="仿宋" w:hAnsi="仿宋" w:eastAsia="仿宋" w:cs="仿宋"/>
                <w:b/>
                <w:sz w:val="28"/>
                <w:szCs w:val="32"/>
                <w:highlight w:val="none"/>
              </w:rPr>
            </w:pPr>
            <w:r>
              <w:rPr>
                <w:rFonts w:hint="eastAsia" w:ascii="仿宋" w:hAnsi="仿宋" w:eastAsia="仿宋" w:cs="仿宋"/>
                <w:b/>
                <w:sz w:val="28"/>
                <w:szCs w:val="32"/>
                <w:highlight w:val="none"/>
              </w:rPr>
              <w:t>第一个信封（商务及技术文件）评分分值构成：</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同类业绩：       20分</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服务方案：       70分</w:t>
            </w:r>
          </w:p>
          <w:p>
            <w:pPr>
              <w:adjustRightInd w:val="0"/>
              <w:snapToGrid w:val="0"/>
              <w:spacing w:line="400" w:lineRule="exact"/>
              <w:rPr>
                <w:rFonts w:hint="eastAsia" w:ascii="仿宋" w:hAnsi="仿宋" w:eastAsia="仿宋" w:cs="仿宋"/>
                <w:b/>
                <w:sz w:val="28"/>
                <w:szCs w:val="32"/>
                <w:highlight w:val="none"/>
              </w:rPr>
            </w:pPr>
            <w:r>
              <w:rPr>
                <w:rFonts w:hint="eastAsia" w:ascii="仿宋" w:hAnsi="仿宋" w:eastAsia="仿宋" w:cs="仿宋"/>
                <w:b/>
                <w:sz w:val="28"/>
                <w:szCs w:val="32"/>
                <w:highlight w:val="none"/>
              </w:rPr>
              <w:t>第二个信封（报价文件）评分分值构成：</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评 标 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2.2.2</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评标基准价计算方法</w:t>
            </w:r>
          </w:p>
        </w:tc>
        <w:tc>
          <w:tcPr>
            <w:tcW w:w="7197" w:type="dxa"/>
            <w:noWrap w:val="0"/>
            <w:vAlign w:val="center"/>
          </w:tcPr>
          <w:p>
            <w:pPr>
              <w:pStyle w:val="7"/>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评标基准价的计算：</w:t>
            </w:r>
          </w:p>
          <w:p>
            <w:pPr>
              <w:pStyle w:val="7"/>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  开标现场，招标人将当场计算并宣布评标基准价。</w:t>
            </w:r>
          </w:p>
          <w:p>
            <w:pPr>
              <w:pStyle w:val="7"/>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1、评标价的确定：</w:t>
            </w:r>
          </w:p>
          <w:p>
            <w:pPr>
              <w:pStyle w:val="7"/>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评标价=投标函文字报价</w:t>
            </w:r>
          </w:p>
          <w:p>
            <w:pPr>
              <w:pStyle w:val="7"/>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2、评标价平均值的计算：</w:t>
            </w:r>
          </w:p>
          <w:p>
            <w:pPr>
              <w:pStyle w:val="7"/>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7"/>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3、评标基准价的确定： </w:t>
            </w:r>
          </w:p>
          <w:p>
            <w:pPr>
              <w:pStyle w:val="7"/>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评标价平均值直接作为评标基准价。 </w:t>
            </w:r>
          </w:p>
          <w:p>
            <w:pPr>
              <w:pStyle w:val="7"/>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评标基准价保留小数点后两位，小数点后第三位四舍五入。</w:t>
            </w:r>
          </w:p>
          <w:p>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32"/>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2.2.3</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评标价的偏差率计算公式</w:t>
            </w:r>
          </w:p>
        </w:tc>
        <w:tc>
          <w:tcPr>
            <w:tcW w:w="7197" w:type="dxa"/>
            <w:noWrap w:val="0"/>
            <w:vAlign w:val="center"/>
          </w:tcPr>
          <w:p>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32"/>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3.6.1</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信息查询</w:t>
            </w:r>
          </w:p>
        </w:tc>
        <w:tc>
          <w:tcPr>
            <w:tcW w:w="7197" w:type="dxa"/>
            <w:noWrap w:val="0"/>
            <w:vAlign w:val="center"/>
          </w:tcPr>
          <w:p>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在评标过程中，评标委员会应对以下信息进行查询：</w:t>
            </w:r>
          </w:p>
          <w:p>
            <w:pPr>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评标委员会评标时在“国家企业信用信息公示系统”和“信用中国”网站对投标人的信用情况进行查询，若投标人存在“国家企业信用信息公示系统” 被列入严重违法失信企业名单（不含分公司）或在“信用中国”网站“被列入失信被执行人名单、异常经营名录、税收违法黑名单、政府采购严重违法失信名单”（均不含分公司）情形的，评标委员会应否决其投标。</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28"/>
                <w:highlight w:val="none"/>
              </w:rPr>
              <w:t>若投标人未提供相关网页截图或所附截图与核查结果不一致使得投标人的资格条件不符合招标文件规定的，评标委员会应否决其投标。</w:t>
            </w:r>
          </w:p>
        </w:tc>
      </w:tr>
    </w:tbl>
    <w:p>
      <w:pPr>
        <w:snapToGrid w:val="0"/>
        <w:spacing w:line="400" w:lineRule="exact"/>
        <w:jc w:val="left"/>
        <w:rPr>
          <w:rFonts w:hint="eastAsia" w:ascii="仿宋" w:hAnsi="仿宋" w:eastAsia="仿宋" w:cs="仿宋"/>
          <w:sz w:val="32"/>
          <w:szCs w:val="36"/>
          <w:highlight w:val="none"/>
        </w:rPr>
      </w:pPr>
    </w:p>
    <w:p>
      <w:pPr>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br w:type="page"/>
      </w:r>
    </w:p>
    <w:tbl>
      <w:tblPr>
        <w:tblStyle w:val="8"/>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noWrap w:val="0"/>
            <w:vAlign w:val="center"/>
          </w:tcPr>
          <w:p>
            <w:pPr>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2154" w:type="dxa"/>
            <w:gridSpan w:val="2"/>
            <w:noWrap w:val="0"/>
            <w:vAlign w:val="center"/>
          </w:tcPr>
          <w:p>
            <w:pPr>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评审项目</w:t>
            </w:r>
          </w:p>
        </w:tc>
        <w:tc>
          <w:tcPr>
            <w:tcW w:w="843" w:type="dxa"/>
            <w:noWrap w:val="0"/>
            <w:vAlign w:val="center"/>
          </w:tcPr>
          <w:p>
            <w:pPr>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标准分</w:t>
            </w:r>
          </w:p>
        </w:tc>
        <w:tc>
          <w:tcPr>
            <w:tcW w:w="5978" w:type="dxa"/>
            <w:noWrap w:val="0"/>
            <w:vAlign w:val="center"/>
          </w:tcPr>
          <w:p>
            <w:pPr>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     分     标     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noWrap w:val="0"/>
            <w:vAlign w:val="center"/>
          </w:tcPr>
          <w:p>
            <w:pPr>
              <w:snapToGrid w:val="0"/>
              <w:spacing w:line="400" w:lineRule="exact"/>
              <w:jc w:val="center"/>
              <w:rPr>
                <w:rFonts w:hint="eastAsia" w:ascii="仿宋" w:hAnsi="仿宋" w:eastAsia="仿宋" w:cs="仿宋"/>
                <w:bCs/>
                <w:w w:val="90"/>
                <w:sz w:val="28"/>
                <w:szCs w:val="28"/>
                <w:highlight w:val="none"/>
              </w:rPr>
            </w:pPr>
            <w:r>
              <w:rPr>
                <w:rFonts w:hint="eastAsia" w:ascii="仿宋" w:hAnsi="仿宋" w:eastAsia="仿宋" w:cs="仿宋"/>
                <w:bCs/>
                <w:w w:val="90"/>
                <w:sz w:val="28"/>
                <w:szCs w:val="28"/>
                <w:highlight w:val="none"/>
              </w:rPr>
              <w:t>1</w:t>
            </w:r>
          </w:p>
        </w:tc>
        <w:tc>
          <w:tcPr>
            <w:tcW w:w="2154" w:type="dxa"/>
            <w:gridSpan w:val="2"/>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同类业绩</w:t>
            </w:r>
          </w:p>
        </w:tc>
        <w:tc>
          <w:tcPr>
            <w:tcW w:w="843" w:type="dxa"/>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20分</w:t>
            </w:r>
          </w:p>
        </w:tc>
        <w:tc>
          <w:tcPr>
            <w:tcW w:w="5978" w:type="dxa"/>
            <w:noWrap w:val="0"/>
            <w:vAlign w:val="center"/>
          </w:tcPr>
          <w:p>
            <w:pPr>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满足资格审查条件(业绩最低要求)得12分；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sz w:val="28"/>
                <w:szCs w:val="28"/>
                <w:highlight w:val="none"/>
              </w:rPr>
              <w:t>近3年内（2019年12月1日至今，以合同签订时间为准）</w:t>
            </w:r>
            <w:r>
              <w:rPr>
                <w:rFonts w:hint="eastAsia" w:ascii="仿宋" w:hAnsi="仿宋" w:eastAsia="仿宋" w:cs="仿宋"/>
                <w:bCs/>
                <w:sz w:val="28"/>
                <w:szCs w:val="28"/>
                <w:highlight w:val="none"/>
              </w:rPr>
              <w:t>每增加一项劳务外包服务业绩加4分，最高加8分。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restart"/>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highlight w:val="none"/>
              </w:rPr>
            </w:pPr>
            <w:r>
              <w:rPr>
                <w:rFonts w:hint="eastAsia" w:ascii="仿宋" w:hAnsi="仿宋" w:eastAsia="仿宋" w:cs="仿宋"/>
                <w:bCs/>
                <w:w w:val="90"/>
                <w:sz w:val="28"/>
                <w:szCs w:val="28"/>
                <w:highlight w:val="none"/>
              </w:rPr>
              <w:t>2</w:t>
            </w:r>
          </w:p>
        </w:tc>
        <w:tc>
          <w:tcPr>
            <w:tcW w:w="1030" w:type="dxa"/>
            <w:vMerge w:val="restart"/>
            <w:tcBorders>
              <w:left w:val="single" w:color="auto" w:sz="2" w:space="0"/>
              <w:right w:val="single" w:color="auto" w:sz="2" w:space="0"/>
            </w:tcBorders>
            <w:noWrap w:val="0"/>
            <w:vAlign w:val="center"/>
          </w:tcPr>
          <w:p>
            <w:pPr>
              <w:snapToGrid w:val="0"/>
              <w:spacing w:before="120" w:beforeLines="50" w:after="120" w:afterLines="50"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服务方案</w:t>
            </w:r>
          </w:p>
          <w:p>
            <w:pPr>
              <w:snapToGrid w:val="0"/>
              <w:spacing w:before="120" w:beforeLines="50" w:after="120" w:afterLines="50"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（70分）</w:t>
            </w:r>
          </w:p>
        </w:tc>
        <w:tc>
          <w:tcPr>
            <w:tcW w:w="1124" w:type="dxa"/>
            <w:tcBorders>
              <w:left w:val="single" w:color="auto" w:sz="2" w:space="0"/>
            </w:tcBorders>
            <w:noWrap w:val="0"/>
            <w:vAlign w:val="center"/>
          </w:tcPr>
          <w:p>
            <w:pPr>
              <w:snapToGrid w:val="0"/>
              <w:spacing w:before="120" w:beforeLines="50" w:after="120" w:afterLines="50"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组织机构及项目团队</w:t>
            </w:r>
          </w:p>
        </w:tc>
        <w:tc>
          <w:tcPr>
            <w:tcW w:w="843" w:type="dxa"/>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20分</w:t>
            </w:r>
          </w:p>
        </w:tc>
        <w:tc>
          <w:tcPr>
            <w:tcW w:w="5978" w:type="dxa"/>
            <w:noWrap w:val="0"/>
            <w:vAlign w:val="center"/>
          </w:tcPr>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根据投标人项目实施团队的组织机构和人员配备优劣进行比较打分：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第一档，组织管理机构完善、合理，团队人员构成专业性强、经验丰富符合项目特点的，得18.01-20分； </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第二档，组织管理机构健全、合理，团队人员构成和专业性较好，相关经验较丰富，符合项目需求的，得15.01-18分； </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第三档，组织管理机构和人员构成基本合理，专业性和相关经验有欠缺或低于其他档次投标人，得12-15分。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highlight w:val="none"/>
              </w:rPr>
            </w:pPr>
          </w:p>
        </w:tc>
        <w:tc>
          <w:tcPr>
            <w:tcW w:w="1030" w:type="dxa"/>
            <w:vMerge w:val="continue"/>
            <w:tcBorders>
              <w:left w:val="single" w:color="auto" w:sz="2" w:space="0"/>
              <w:righ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p>
        </w:tc>
        <w:tc>
          <w:tcPr>
            <w:tcW w:w="1124" w:type="dxa"/>
            <w:tcBorders>
              <w:lef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实施计划及服务方案</w:t>
            </w:r>
          </w:p>
        </w:tc>
        <w:tc>
          <w:tcPr>
            <w:tcW w:w="843" w:type="dxa"/>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20分</w:t>
            </w:r>
          </w:p>
        </w:tc>
        <w:tc>
          <w:tcPr>
            <w:tcW w:w="5978" w:type="dxa"/>
            <w:noWrap w:val="0"/>
            <w:vAlign w:val="center"/>
          </w:tcPr>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第一档，实施计划科学合理，总体方案完整、内容齐全，有针对性，得18.01-20分；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第二档，实施计划较科学合理，总体方案较完整，得15.01-18分；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第三档，实施计划欠合理，总体方案过于简单，得12-15分。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highlight w:val="none"/>
              </w:rPr>
            </w:pPr>
          </w:p>
        </w:tc>
        <w:tc>
          <w:tcPr>
            <w:tcW w:w="1030" w:type="dxa"/>
            <w:vMerge w:val="continue"/>
            <w:tcBorders>
              <w:left w:val="single" w:color="auto" w:sz="2" w:space="0"/>
              <w:righ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p>
        </w:tc>
        <w:tc>
          <w:tcPr>
            <w:tcW w:w="1124" w:type="dxa"/>
            <w:tcBorders>
              <w:lef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日常管理标准及措施</w:t>
            </w:r>
          </w:p>
        </w:tc>
        <w:tc>
          <w:tcPr>
            <w:tcW w:w="843" w:type="dxa"/>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10分</w:t>
            </w:r>
          </w:p>
        </w:tc>
        <w:tc>
          <w:tcPr>
            <w:tcW w:w="5978" w:type="dxa"/>
            <w:noWrap w:val="0"/>
            <w:vAlign w:val="center"/>
          </w:tcPr>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第一档，科学合理，内容详细，得9.01-10分；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第二档，较科学合理，内容较详细，得7.51-9分；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第三档，欠合理，内容过于简单，得6-7.5分。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highlight w:val="none"/>
              </w:rPr>
            </w:pPr>
          </w:p>
        </w:tc>
        <w:tc>
          <w:tcPr>
            <w:tcW w:w="1030" w:type="dxa"/>
            <w:vMerge w:val="continue"/>
            <w:tcBorders>
              <w:left w:val="single" w:color="auto" w:sz="2" w:space="0"/>
              <w:righ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p>
        </w:tc>
        <w:tc>
          <w:tcPr>
            <w:tcW w:w="1124" w:type="dxa"/>
            <w:tcBorders>
              <w:lef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内部规章制度及人员考核培训方案</w:t>
            </w:r>
          </w:p>
        </w:tc>
        <w:tc>
          <w:tcPr>
            <w:tcW w:w="843" w:type="dxa"/>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10分</w:t>
            </w:r>
          </w:p>
        </w:tc>
        <w:tc>
          <w:tcPr>
            <w:tcW w:w="5978" w:type="dxa"/>
            <w:noWrap w:val="0"/>
            <w:vAlign w:val="center"/>
          </w:tcPr>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第一档，科学合理、完善可行、有针对性，得9.01-10分；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第二档，较科学、较完善可行、较有针对性，得7.51-9分；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第三档，保证措施一般，得6-7.5分。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highlight w:val="none"/>
              </w:rPr>
            </w:pPr>
          </w:p>
        </w:tc>
        <w:tc>
          <w:tcPr>
            <w:tcW w:w="1030" w:type="dxa"/>
            <w:vMerge w:val="continue"/>
            <w:tcBorders>
              <w:left w:val="single" w:color="auto" w:sz="2" w:space="0"/>
              <w:righ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p>
        </w:tc>
        <w:tc>
          <w:tcPr>
            <w:tcW w:w="1124" w:type="dxa"/>
            <w:tcBorders>
              <w:lef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服务承诺</w:t>
            </w:r>
          </w:p>
        </w:tc>
        <w:tc>
          <w:tcPr>
            <w:tcW w:w="843" w:type="dxa"/>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10分</w:t>
            </w:r>
          </w:p>
        </w:tc>
        <w:tc>
          <w:tcPr>
            <w:tcW w:w="5978" w:type="dxa"/>
            <w:noWrap w:val="0"/>
            <w:vAlign w:val="center"/>
          </w:tcPr>
          <w:p>
            <w:pPr>
              <w:snapToGrid w:val="0"/>
              <w:spacing w:line="400" w:lineRule="exac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对服务质量、运营安全、工作时限、人员保证、等方面</w:t>
            </w:r>
            <w:r>
              <w:rPr>
                <w:rFonts w:hint="eastAsia" w:ascii="仿宋" w:hAnsi="仿宋" w:eastAsia="仿宋" w:cs="仿宋"/>
                <w:bCs/>
                <w:sz w:val="28"/>
                <w:szCs w:val="28"/>
                <w:highlight w:val="none"/>
              </w:rPr>
              <w:t>服务</w:t>
            </w:r>
            <w:r>
              <w:rPr>
                <w:rFonts w:hint="eastAsia" w:ascii="仿宋" w:hAnsi="仿宋" w:eastAsia="仿宋" w:cs="仿宋"/>
                <w:bCs/>
                <w:sz w:val="28"/>
                <w:szCs w:val="28"/>
                <w:highlight w:val="none"/>
                <w:lang w:val="en-US" w:eastAsia="zh-CN"/>
              </w:rPr>
              <w:t>进行承诺</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第一档，服务承诺系统全面、科学合理，得9.01-10分；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第二档，服务承诺较完整、较科学，得7.51-9分；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第三档，服务承诺不完整或不尽合理，得6-7.5分。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tcBorders>
              <w:right w:val="single" w:color="auto" w:sz="2" w:space="0"/>
            </w:tcBorders>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2154" w:type="dxa"/>
            <w:gridSpan w:val="2"/>
            <w:tcBorders>
              <w:left w:val="single" w:color="auto" w:sz="2" w:space="0"/>
            </w:tcBorders>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评标价</w:t>
            </w:r>
          </w:p>
        </w:tc>
        <w:tc>
          <w:tcPr>
            <w:tcW w:w="843" w:type="dxa"/>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10分</w:t>
            </w:r>
          </w:p>
        </w:tc>
        <w:tc>
          <w:tcPr>
            <w:tcW w:w="5978" w:type="dxa"/>
            <w:noWrap w:val="0"/>
            <w:vAlign w:val="center"/>
          </w:tcPr>
          <w:p>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评标价得分计算公式示例：</w:t>
            </w:r>
          </w:p>
          <w:p>
            <w:pPr>
              <w:spacing w:line="400" w:lineRule="exact"/>
              <w:ind w:firstLine="324" w:firstLineChars="116"/>
              <w:rPr>
                <w:rFonts w:hint="eastAsia" w:ascii="仿宋" w:hAnsi="仿宋" w:eastAsia="仿宋" w:cs="仿宋"/>
                <w:sz w:val="28"/>
                <w:szCs w:val="28"/>
                <w:highlight w:val="none"/>
              </w:rPr>
            </w:pPr>
            <w:r>
              <w:rPr>
                <w:rFonts w:hint="eastAsia" w:ascii="仿宋" w:hAnsi="仿宋" w:eastAsia="仿宋" w:cs="仿宋"/>
                <w:sz w:val="28"/>
                <w:szCs w:val="28"/>
                <w:highlight w:val="none"/>
              </w:rPr>
              <w:t>（1）如果投标人的评标价＞评标基准价，则评标价得分=F-（投标人评标价-评标基准价）/评标基准价×100×E1；</w:t>
            </w:r>
          </w:p>
          <w:p>
            <w:pPr>
              <w:spacing w:line="400" w:lineRule="exact"/>
              <w:ind w:firstLine="324" w:firstLineChars="116"/>
              <w:rPr>
                <w:rFonts w:hint="eastAsia" w:ascii="仿宋" w:hAnsi="仿宋" w:eastAsia="仿宋" w:cs="仿宋"/>
                <w:sz w:val="28"/>
                <w:szCs w:val="28"/>
                <w:highlight w:val="none"/>
              </w:rPr>
            </w:pPr>
            <w:r>
              <w:rPr>
                <w:rFonts w:hint="eastAsia" w:ascii="仿宋" w:hAnsi="仿宋" w:eastAsia="仿宋" w:cs="仿宋"/>
                <w:sz w:val="28"/>
                <w:szCs w:val="28"/>
                <w:highlight w:val="none"/>
              </w:rPr>
              <w:t>（2）如果投标人的评标价≤评标基准价，则评标价得分=F+(投标人评标价-评标基准价)/评标基准价×100×E2。</w:t>
            </w:r>
          </w:p>
          <w:p>
            <w:pPr>
              <w:spacing w:line="400" w:lineRule="exact"/>
              <w:ind w:firstLine="324" w:firstLineChars="116"/>
              <w:rPr>
                <w:rFonts w:hint="eastAsia" w:ascii="仿宋" w:hAnsi="仿宋" w:eastAsia="仿宋" w:cs="仿宋"/>
                <w:bCs/>
                <w:sz w:val="28"/>
                <w:szCs w:val="28"/>
                <w:highlight w:val="none"/>
              </w:rPr>
            </w:pPr>
            <w:r>
              <w:rPr>
                <w:rFonts w:hint="eastAsia" w:ascii="仿宋" w:hAnsi="仿宋" w:eastAsia="仿宋" w:cs="仿宋"/>
                <w:sz w:val="28"/>
                <w:szCs w:val="28"/>
                <w:highlight w:val="none"/>
              </w:rPr>
              <w:t>其中，F=10；E1=0.</w:t>
            </w:r>
            <w:r>
              <w:rPr>
                <w:rFonts w:ascii="仿宋" w:hAnsi="仿宋" w:eastAsia="仿宋" w:cs="仿宋"/>
                <w:sz w:val="28"/>
                <w:szCs w:val="28"/>
                <w:highlight w:val="none"/>
              </w:rPr>
              <w:t>2</w:t>
            </w:r>
            <w:r>
              <w:rPr>
                <w:rFonts w:hint="eastAsia" w:ascii="仿宋" w:hAnsi="仿宋" w:eastAsia="仿宋" w:cs="仿宋"/>
                <w:sz w:val="28"/>
                <w:szCs w:val="28"/>
                <w:highlight w:val="none"/>
              </w:rPr>
              <w:t>；E2=0.</w:t>
            </w:r>
            <w:r>
              <w:rPr>
                <w:rFonts w:ascii="仿宋" w:hAnsi="仿宋" w:eastAsia="仿宋" w:cs="仿宋"/>
                <w:sz w:val="28"/>
                <w:szCs w:val="28"/>
                <w:highlight w:val="none"/>
              </w:rPr>
              <w:t>1</w:t>
            </w:r>
            <w:r>
              <w:rPr>
                <w:rFonts w:hint="eastAsia" w:ascii="仿宋" w:hAnsi="仿宋" w:eastAsia="仿宋" w:cs="仿宋"/>
                <w:sz w:val="28"/>
                <w:szCs w:val="28"/>
                <w:highlight w:val="none"/>
              </w:rPr>
              <w:t>；评标价最低得分为0分。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2889" w:type="dxa"/>
            <w:gridSpan w:val="3"/>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合计</w:t>
            </w:r>
          </w:p>
        </w:tc>
        <w:tc>
          <w:tcPr>
            <w:tcW w:w="843" w:type="dxa"/>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100分</w:t>
            </w:r>
          </w:p>
        </w:tc>
        <w:tc>
          <w:tcPr>
            <w:tcW w:w="5978" w:type="dxa"/>
            <w:noWrap w:val="0"/>
            <w:vAlign w:val="center"/>
          </w:tcPr>
          <w:p>
            <w:pPr>
              <w:spacing w:line="400" w:lineRule="exact"/>
              <w:jc w:val="center"/>
              <w:rPr>
                <w:rFonts w:hint="eastAsia" w:ascii="仿宋" w:hAnsi="仿宋" w:eastAsia="仿宋" w:cs="仿宋"/>
                <w:bCs/>
                <w:sz w:val="28"/>
                <w:szCs w:val="28"/>
                <w:highlight w:val="none"/>
              </w:rPr>
            </w:pPr>
          </w:p>
        </w:tc>
      </w:tr>
    </w:tbl>
    <w:p>
      <w:pPr>
        <w:widowControl/>
        <w:snapToGrid w:val="0"/>
        <w:spacing w:line="300" w:lineRule="auto"/>
        <w:jc w:val="left"/>
        <w:rPr>
          <w:rFonts w:hint="eastAsia" w:ascii="仿宋" w:hAnsi="仿宋" w:eastAsia="仿宋" w:cs="仿宋"/>
          <w:sz w:val="28"/>
          <w:szCs w:val="32"/>
          <w:highlight w:val="none"/>
        </w:rPr>
      </w:pPr>
      <w:r>
        <w:rPr>
          <w:rFonts w:hint="eastAsia" w:ascii="仿宋" w:hAnsi="仿宋" w:eastAsia="仿宋" w:cs="仿宋"/>
          <w:color w:val="000000"/>
          <w:kern w:val="0"/>
          <w:sz w:val="28"/>
          <w:szCs w:val="28"/>
          <w:highlight w:val="none"/>
          <w:lang w:bidi="ar"/>
        </w:rPr>
        <w:t>注：1、各评分因素得分应以评标委员会各成员的打分平均值确定，保留两位小数，第三位四舍五入。</w:t>
      </w:r>
    </w:p>
    <w:p>
      <w:r>
        <w:rPr>
          <w:rFonts w:hint="eastAsia" w:ascii="仿宋" w:hAnsi="仿宋" w:eastAsia="仿宋" w:cs="仿宋"/>
          <w:color w:val="000000"/>
          <w:kern w:val="0"/>
          <w:sz w:val="28"/>
          <w:szCs w:val="28"/>
          <w:highlight w:val="none"/>
          <w:lang w:bidi="ar"/>
        </w:rPr>
        <w:t>2、</w:t>
      </w:r>
      <w:r>
        <w:rPr>
          <w:rFonts w:hint="eastAsia" w:ascii="仿宋" w:hAnsi="仿宋" w:eastAsia="仿宋" w:cs="仿宋"/>
          <w:kern w:val="0"/>
          <w:sz w:val="28"/>
          <w:szCs w:val="28"/>
          <w:highlight w:val="none"/>
        </w:rPr>
        <w:t>服务方案</w:t>
      </w:r>
      <w:r>
        <w:rPr>
          <w:rFonts w:hint="eastAsia" w:ascii="仿宋" w:hAnsi="仿宋" w:eastAsia="仿宋" w:cs="仿宋"/>
          <w:color w:val="000000"/>
          <w:kern w:val="0"/>
          <w:sz w:val="28"/>
          <w:szCs w:val="28"/>
          <w:highlight w:val="none"/>
          <w:lang w:bidi="ar"/>
        </w:rPr>
        <w:t>评分因素细分项存在缺项的，则该项计0分</w:t>
      </w:r>
      <w:r>
        <w:rPr>
          <w:rFonts w:hint="eastAsia" w:ascii="仿宋" w:hAnsi="仿宋" w:eastAsia="仿宋" w:cs="仿宋"/>
          <w:sz w:val="28"/>
          <w:szCs w:val="28"/>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D7B530D"/>
    <w:rsid w:val="1D7B530D"/>
    <w:rsid w:val="7774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kern w:val="0"/>
      <w:sz w:val="28"/>
      <w:szCs w:val="24"/>
    </w:rPr>
  </w:style>
  <w:style w:type="paragraph" w:styleId="3">
    <w:name w:val="Body Text 2"/>
    <w:basedOn w:val="1"/>
    <w:next w:val="1"/>
    <w:unhideWhenUsed/>
    <w:qFormat/>
    <w:uiPriority w:val="99"/>
    <w:pPr>
      <w:spacing w:after="120" w:line="480" w:lineRule="auto"/>
    </w:pPr>
  </w:style>
  <w:style w:type="paragraph" w:styleId="4">
    <w:name w:val="Body Text Indent"/>
    <w:basedOn w:val="1"/>
    <w:next w:val="5"/>
    <w:qFormat/>
    <w:uiPriority w:val="0"/>
    <w:pPr>
      <w:ind w:firstLine="480"/>
    </w:pPr>
    <w:rPr>
      <w:rFonts w:ascii="Times New Roman" w:hAnsi="Times New Roman" w:eastAsia="宋体"/>
      <w:kern w:val="0"/>
      <w:sz w:val="24"/>
      <w:szCs w:val="20"/>
    </w:rPr>
  </w:style>
  <w:style w:type="paragraph" w:styleId="5">
    <w:name w:val="envelope return"/>
    <w:basedOn w:val="1"/>
    <w:qFormat/>
    <w:uiPriority w:val="0"/>
    <w:pPr>
      <w:snapToGrid w:val="0"/>
    </w:pPr>
    <w:rPr>
      <w:rFonts w:ascii="Arial" w:hAnsi="Arial"/>
    </w:rPr>
  </w:style>
  <w:style w:type="paragraph" w:styleId="6">
    <w:name w:val="List"/>
    <w:basedOn w:val="1"/>
    <w:qFormat/>
    <w:uiPriority w:val="0"/>
    <w:pPr>
      <w:autoSpaceDE w:val="0"/>
      <w:autoSpaceDN w:val="0"/>
      <w:adjustRightInd w:val="0"/>
      <w:ind w:left="360" w:hanging="360"/>
      <w:jc w:val="left"/>
      <w:textAlignment w:val="baseline"/>
    </w:pPr>
    <w:rPr>
      <w:rFonts w:ascii="宋体"/>
      <w:b/>
      <w:kern w:val="0"/>
      <w:sz w:val="20"/>
      <w:szCs w:val="20"/>
    </w:rPr>
  </w:style>
  <w:style w:type="paragraph" w:styleId="7">
    <w:name w:val="Body Text First Indent 2"/>
    <w:basedOn w:val="4"/>
    <w:next w:val="6"/>
    <w:qFormat/>
    <w:uiPriority w:val="99"/>
    <w:pPr>
      <w:ind w:firstLine="420" w:firstLineChars="200"/>
    </w:pPr>
    <w:rPr>
      <w:color w:val="000000"/>
    </w:rPr>
  </w:style>
  <w:style w:type="character" w:customStyle="1" w:styleId="10">
    <w:name w:val="NormalCharacter"/>
    <w:qFormat/>
    <w:uiPriority w:val="0"/>
    <w:rPr>
      <w:rFonts w:ascii="Times New Roman" w:hAnsi="Times New Roman" w:eastAsia="宋体" w:cs="Times New Roman"/>
    </w:rPr>
  </w:style>
  <w:style w:type="character" w:customStyle="1" w:styleId="11">
    <w:name w:val="目录4 Char"/>
    <w:qFormat/>
    <w:uiPriority w:val="0"/>
    <w:rPr>
      <w:rFonts w:ascii="黑体" w:eastAsia="黑体"/>
      <w:kern w:val="2"/>
      <w:sz w:val="24"/>
      <w:szCs w:val="24"/>
      <w:lang w:val="en-US" w:eastAsia="zh-CN" w:bidi="ar-SA"/>
    </w:rPr>
  </w:style>
  <w:style w:type="character" w:customStyle="1" w:styleId="12">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2022-12-30T13:28:00Z</dcterms:created>
  <dc:creator>cz</dc:creator>
  <cp:lastModifiedBy>AOWEN</cp:lastModifiedBy>
  <dcterms:modified xsi:type="dcterms:W3CDTF">2022-12-31T01:07:06Z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397D942A9D524F8692A0DDFA4F574758</vt:lpwstr>
  </property>
</Properties>
</file>