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仿宋" w:hAnsi="仿宋" w:eastAsia="仿宋" w:cs="仿宋"/>
          <w:b/>
          <w:kern w:val="28"/>
          <w:sz w:val="32"/>
        </w:rPr>
      </w:pPr>
      <w:r>
        <w:rPr>
          <w:rFonts w:hint="eastAsia" w:ascii="仿宋" w:hAnsi="仿宋" w:eastAsia="仿宋" w:cs="仿宋"/>
          <w:b/>
          <w:kern w:val="28"/>
          <w:sz w:val="32"/>
        </w:rPr>
        <w:t>附件1： 资格审查条件</w:t>
      </w:r>
    </w:p>
    <w:p>
      <w:pPr>
        <w:adjustRightInd w:val="0"/>
        <w:spacing w:line="400" w:lineRule="exact"/>
        <w:jc w:val="center"/>
        <w:rPr>
          <w:rFonts w:hint="eastAsia" w:ascii="仿宋" w:hAnsi="仿宋" w:eastAsia="仿宋" w:cs="仿宋"/>
          <w:b/>
          <w:kern w:val="28"/>
          <w:sz w:val="32"/>
          <w:szCs w:val="32"/>
        </w:rPr>
      </w:pPr>
    </w:p>
    <w:p>
      <w:pPr>
        <w:spacing w:line="360" w:lineRule="auto"/>
        <w:jc w:val="center"/>
        <w:rPr>
          <w:rStyle w:val="14"/>
          <w:rFonts w:hint="eastAsia" w:ascii="仿宋" w:hAnsi="仿宋" w:eastAsia="仿宋" w:cs="仿宋"/>
          <w:b/>
          <w:sz w:val="32"/>
          <w:szCs w:val="32"/>
        </w:rPr>
      </w:pPr>
      <w:r>
        <w:rPr>
          <w:rStyle w:val="14"/>
          <w:rFonts w:hint="eastAsia" w:ascii="仿宋" w:hAnsi="仿宋" w:eastAsia="仿宋" w:cs="仿宋"/>
          <w:b/>
          <w:sz w:val="32"/>
          <w:szCs w:val="32"/>
        </w:rPr>
        <w:t>附录1  资格审查条件（资质最低条件）</w:t>
      </w:r>
    </w:p>
    <w:tbl>
      <w:tblPr>
        <w:tblStyle w:val="11"/>
        <w:tblpPr w:leftFromText="180" w:rightFromText="180" w:vertAnchor="text" w:horzAnchor="page" w:tblpX="1386" w:tblpY="632"/>
        <w:tblOverlap w:val="never"/>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8"/>
                <w:szCs w:val="28"/>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378" w:firstLineChars="135"/>
              <w:jc w:val="left"/>
              <w:rPr>
                <w:rFonts w:hint="eastAsia" w:ascii="仿宋" w:hAnsi="仿宋" w:eastAsia="仿宋" w:cs="仿宋"/>
                <w:sz w:val="24"/>
                <w:szCs w:val="24"/>
              </w:rPr>
            </w:pPr>
            <w:r>
              <w:rPr>
                <w:rFonts w:hint="eastAsia" w:ascii="仿宋" w:hAnsi="仿宋" w:eastAsia="仿宋" w:cs="仿宋"/>
                <w:sz w:val="28"/>
                <w:szCs w:val="28"/>
              </w:rPr>
              <w:t>具备独立法人资格，具有有效企业营业执照；具备有效的人力资源服务许可证、劳务派遣经营许可证。</w:t>
            </w:r>
          </w:p>
        </w:tc>
      </w:tr>
    </w:tbl>
    <w:p>
      <w:pPr>
        <w:jc w:val="both"/>
        <w:rPr>
          <w:rStyle w:val="15"/>
          <w:rFonts w:hint="eastAsia" w:ascii="仿宋" w:hAnsi="仿宋" w:eastAsia="仿宋" w:cs="仿宋"/>
          <w:b/>
          <w:sz w:val="32"/>
          <w:szCs w:val="32"/>
        </w:rPr>
      </w:pPr>
    </w:p>
    <w:p>
      <w:pPr>
        <w:jc w:val="center"/>
        <w:rPr>
          <w:rStyle w:val="15"/>
          <w:rFonts w:hint="eastAsia" w:ascii="仿宋" w:hAnsi="仿宋" w:eastAsia="仿宋" w:cs="仿宋"/>
          <w:b/>
          <w:sz w:val="32"/>
          <w:szCs w:val="32"/>
        </w:rPr>
      </w:pPr>
    </w:p>
    <w:p>
      <w:pPr>
        <w:jc w:val="center"/>
        <w:rPr>
          <w:rStyle w:val="15"/>
          <w:rFonts w:hint="eastAsia" w:ascii="仿宋" w:hAnsi="仿宋" w:eastAsia="仿宋" w:cs="仿宋"/>
          <w:b/>
          <w:sz w:val="21"/>
          <w:szCs w:val="21"/>
        </w:rPr>
      </w:pPr>
      <w:r>
        <w:rPr>
          <w:rStyle w:val="15"/>
          <w:rFonts w:hint="eastAsia" w:ascii="仿宋" w:hAnsi="仿宋" w:eastAsia="仿宋" w:cs="仿宋"/>
          <w:b/>
          <w:sz w:val="32"/>
          <w:szCs w:val="32"/>
        </w:rPr>
        <w:t>附录2  资格审查条件（</w:t>
      </w:r>
      <w:r>
        <w:rPr>
          <w:rFonts w:hint="eastAsia" w:ascii="仿宋" w:hAnsi="仿宋" w:eastAsia="仿宋" w:cs="仿宋"/>
          <w:b/>
          <w:sz w:val="32"/>
          <w:szCs w:val="28"/>
        </w:rPr>
        <w:t>业绩最低条件</w:t>
      </w:r>
      <w:r>
        <w:rPr>
          <w:rStyle w:val="15"/>
          <w:rFonts w:hint="eastAsia" w:ascii="仿宋" w:hAnsi="仿宋" w:eastAsia="仿宋" w:cs="仿宋"/>
          <w:b/>
          <w:sz w:val="32"/>
          <w:szCs w:val="32"/>
        </w:rPr>
        <w:t>）</w:t>
      </w:r>
    </w:p>
    <w:p>
      <w:pPr>
        <w:rPr>
          <w:rFonts w:hint="eastAsia" w:ascii="仿宋" w:hAnsi="仿宋" w:eastAsia="仿宋" w:cs="仿宋"/>
          <w:b/>
          <w:szCs w:val="21"/>
        </w:rPr>
      </w:pP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hint="eastAsia" w:ascii="仿宋" w:hAnsi="仿宋" w:eastAsia="仿宋" w:cs="仿宋"/>
                <w:sz w:val="24"/>
                <w:szCs w:val="24"/>
              </w:rPr>
            </w:pPr>
            <w:r>
              <w:rPr>
                <w:rFonts w:hint="eastAsia" w:ascii="仿宋" w:hAnsi="仿宋" w:eastAsia="仿宋" w:cs="仿宋"/>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ind w:firstLine="280" w:firstLineChars="100"/>
              <w:jc w:val="left"/>
              <w:rPr>
                <w:rFonts w:hint="eastAsia" w:ascii="仿宋" w:hAnsi="仿宋" w:eastAsia="仿宋" w:cs="仿宋"/>
                <w:sz w:val="24"/>
                <w:szCs w:val="24"/>
              </w:rPr>
            </w:pPr>
            <w:r>
              <w:rPr>
                <w:rFonts w:hint="eastAsia" w:ascii="仿宋" w:hAnsi="仿宋" w:eastAsia="仿宋" w:cs="仿宋"/>
                <w:sz w:val="28"/>
                <w:szCs w:val="28"/>
              </w:rPr>
              <w:t>近3年内（2019年12月1日至今，以合同签订时间为准）至少从事过3</w:t>
            </w:r>
            <w:r>
              <w:rPr>
                <w:rFonts w:hint="eastAsia" w:ascii="仿宋" w:hAnsi="仿宋" w:eastAsia="仿宋" w:cs="仿宋"/>
                <w:sz w:val="28"/>
                <w:szCs w:val="28"/>
                <w:highlight w:val="none"/>
              </w:rPr>
              <w:t>项</w:t>
            </w:r>
            <w:r>
              <w:rPr>
                <w:rFonts w:hint="eastAsia" w:ascii="仿宋" w:hAnsi="仿宋" w:eastAsia="仿宋" w:cs="仿宋"/>
                <w:sz w:val="28"/>
                <w:szCs w:val="28"/>
              </w:rPr>
              <w:t>劳务派遣服务业绩。</w:t>
            </w:r>
          </w:p>
        </w:tc>
      </w:tr>
    </w:tbl>
    <w:p>
      <w:pPr>
        <w:jc w:val="center"/>
        <w:rPr>
          <w:rFonts w:hint="eastAsia" w:ascii="仿宋" w:hAnsi="仿宋" w:eastAsia="仿宋" w:cs="仿宋"/>
          <w:b/>
          <w:sz w:val="32"/>
          <w:szCs w:val="28"/>
        </w:rPr>
      </w:pPr>
    </w:p>
    <w:p>
      <w:pPr>
        <w:spacing w:line="360" w:lineRule="auto"/>
        <w:jc w:val="center"/>
        <w:rPr>
          <w:rFonts w:hint="eastAsia" w:ascii="仿宋" w:hAnsi="仿宋" w:eastAsia="仿宋" w:cs="仿宋"/>
          <w:b/>
          <w:sz w:val="32"/>
          <w:szCs w:val="28"/>
        </w:rPr>
      </w:pPr>
    </w:p>
    <w:p>
      <w:pPr>
        <w:spacing w:line="360" w:lineRule="auto"/>
        <w:jc w:val="center"/>
        <w:rPr>
          <w:rFonts w:hint="eastAsia" w:ascii="仿宋" w:hAnsi="仿宋" w:eastAsia="仿宋" w:cs="仿宋"/>
          <w:b/>
          <w:sz w:val="32"/>
          <w:szCs w:val="28"/>
        </w:rPr>
      </w:pPr>
      <w:r>
        <w:rPr>
          <w:rFonts w:hint="eastAsia" w:ascii="仿宋" w:hAnsi="仿宋" w:eastAsia="仿宋" w:cs="仿宋"/>
          <w:b/>
          <w:sz w:val="32"/>
          <w:szCs w:val="28"/>
        </w:rPr>
        <w:t>附录3  资格审查条件（信誉最低条件）</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3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8"/>
                <w:szCs w:val="28"/>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360" w:lineRule="auto"/>
              <w:ind w:firstLine="560" w:firstLineChars="200"/>
              <w:jc w:val="left"/>
              <w:rPr>
                <w:rFonts w:hint="eastAsia" w:ascii="仿宋" w:hAnsi="仿宋" w:eastAsia="仿宋" w:cs="仿宋"/>
                <w:sz w:val="24"/>
                <w:szCs w:val="24"/>
              </w:rPr>
            </w:pPr>
            <w:r>
              <w:rPr>
                <w:rFonts w:hint="eastAsia" w:ascii="仿宋" w:hAnsi="仿宋" w:eastAsia="仿宋" w:cs="仿宋"/>
                <w:sz w:val="28"/>
                <w:szCs w:val="32"/>
              </w:rPr>
              <w:t>投标人在近1年内(2021年12月1日至今)不曾在合同执行中被驱逐或因投标人自身的原因而使合同被解除。</w:t>
            </w:r>
          </w:p>
        </w:tc>
      </w:tr>
    </w:tbl>
    <w:p>
      <w:pPr>
        <w:tabs>
          <w:tab w:val="left" w:pos="3300"/>
        </w:tabs>
        <w:spacing w:line="360" w:lineRule="auto"/>
        <w:rPr>
          <w:rFonts w:hint="eastAsia" w:ascii="仿宋" w:hAnsi="仿宋" w:eastAsia="仿宋" w:cs="仿宋"/>
          <w:b/>
          <w:sz w:val="32"/>
          <w:szCs w:val="28"/>
        </w:rPr>
      </w:pPr>
    </w:p>
    <w:p>
      <w:pPr>
        <w:spacing w:line="360" w:lineRule="auto"/>
        <w:rPr>
          <w:rFonts w:hint="eastAsia" w:ascii="仿宋" w:hAnsi="仿宋" w:eastAsia="仿宋" w:cs="仿宋"/>
          <w:b/>
          <w:sz w:val="32"/>
          <w:szCs w:val="28"/>
        </w:rPr>
      </w:pPr>
    </w:p>
    <w:p>
      <w:pPr>
        <w:spacing w:line="400" w:lineRule="exact"/>
        <w:jc w:val="left"/>
        <w:rPr>
          <w:rFonts w:hint="eastAsia" w:ascii="仿宋" w:hAnsi="仿宋" w:eastAsia="仿宋" w:cs="仿宋"/>
          <w:b/>
          <w:sz w:val="40"/>
          <w:szCs w:val="36"/>
        </w:rPr>
      </w:pPr>
      <w:bookmarkStart w:id="0" w:name="_GoBack"/>
      <w:bookmarkEnd w:id="0"/>
      <w:r>
        <w:rPr>
          <w:rFonts w:hint="eastAsia" w:ascii="仿宋" w:hAnsi="仿宋" w:eastAsia="仿宋" w:cs="仿宋"/>
          <w:b/>
          <w:kern w:val="28"/>
          <w:sz w:val="24"/>
          <w:szCs w:val="24"/>
        </w:rPr>
        <w:br w:type="page"/>
      </w:r>
      <w:r>
        <w:rPr>
          <w:rFonts w:hint="eastAsia" w:ascii="仿宋" w:hAnsi="仿宋" w:eastAsia="仿宋" w:cs="仿宋"/>
          <w:b/>
          <w:sz w:val="32"/>
          <w:szCs w:val="28"/>
          <w:lang w:val="en-US" w:eastAsia="zh-CN"/>
        </w:rPr>
        <w:t>附件2：</w:t>
      </w:r>
      <w:r>
        <w:rPr>
          <w:rFonts w:hint="eastAsia" w:ascii="仿宋" w:hAnsi="仿宋" w:eastAsia="仿宋" w:cs="仿宋"/>
          <w:b/>
          <w:sz w:val="32"/>
          <w:szCs w:val="28"/>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条款号</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1</w:t>
            </w:r>
          </w:p>
        </w:tc>
        <w:tc>
          <w:tcPr>
            <w:tcW w:w="1317" w:type="dxa"/>
            <w:noWrap w:val="0"/>
            <w:vAlign w:val="center"/>
          </w:tcPr>
          <w:p>
            <w:pPr>
              <w:spacing w:line="400" w:lineRule="exact"/>
              <w:jc w:val="center"/>
              <w:rPr>
                <w:rFonts w:hint="eastAsia" w:ascii="仿宋" w:hAnsi="仿宋" w:eastAsia="仿宋" w:cs="仿宋"/>
                <w:b/>
                <w:sz w:val="28"/>
                <w:szCs w:val="32"/>
              </w:rPr>
            </w:pPr>
            <w:r>
              <w:rPr>
                <w:rFonts w:hint="eastAsia" w:ascii="仿宋" w:hAnsi="仿宋" w:eastAsia="仿宋" w:cs="仿宋"/>
                <w:sz w:val="28"/>
                <w:szCs w:val="28"/>
              </w:rPr>
              <w:t>评标办法</w:t>
            </w:r>
          </w:p>
        </w:tc>
        <w:tc>
          <w:tcPr>
            <w:tcW w:w="7197" w:type="dxa"/>
            <w:noWrap w:val="0"/>
            <w:vAlign w:val="center"/>
          </w:tcPr>
          <w:p>
            <w:pPr>
              <w:snapToGrid w:val="0"/>
              <w:spacing w:line="400" w:lineRule="exact"/>
              <w:jc w:val="left"/>
              <w:textAlignment w:val="baseline"/>
              <w:rPr>
                <w:rFonts w:hint="eastAsia" w:ascii="仿宋" w:hAnsi="仿宋" w:eastAsia="仿宋" w:cs="仿宋"/>
                <w:sz w:val="28"/>
                <w:szCs w:val="32"/>
              </w:rPr>
            </w:pPr>
            <w:r>
              <w:rPr>
                <w:rFonts w:hint="eastAsia" w:ascii="仿宋" w:hAnsi="仿宋" w:eastAsia="仿宋" w:cs="仿宋"/>
                <w:sz w:val="28"/>
                <w:szCs w:val="32"/>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400" w:lineRule="exact"/>
              <w:rPr>
                <w:rFonts w:hint="eastAsia" w:ascii="仿宋" w:hAnsi="仿宋" w:eastAsia="仿宋" w:cs="仿宋"/>
                <w:sz w:val="28"/>
                <w:szCs w:val="32"/>
              </w:rPr>
            </w:pPr>
            <w:r>
              <w:rPr>
                <w:rFonts w:hint="eastAsia" w:ascii="仿宋" w:hAnsi="仿宋" w:eastAsia="仿宋" w:cs="仿宋"/>
                <w:sz w:val="28"/>
                <w:szCs w:val="32"/>
              </w:rPr>
              <w:t>（1）评标价低的投标人优先；</w:t>
            </w:r>
          </w:p>
          <w:p>
            <w:pPr>
              <w:adjustRightInd w:val="0"/>
              <w:snapToGrid w:val="0"/>
              <w:spacing w:line="400" w:lineRule="exact"/>
              <w:rPr>
                <w:rFonts w:hint="eastAsia" w:ascii="仿宋" w:hAnsi="仿宋" w:eastAsia="仿宋" w:cs="仿宋"/>
                <w:sz w:val="28"/>
                <w:szCs w:val="32"/>
              </w:rPr>
            </w:pPr>
            <w:r>
              <w:rPr>
                <w:rFonts w:hint="eastAsia" w:ascii="仿宋" w:hAnsi="仿宋" w:eastAsia="仿宋" w:cs="仿宋"/>
                <w:sz w:val="28"/>
                <w:szCs w:val="32"/>
              </w:rPr>
              <w:t>（2）技术得分较高的投标人优先；</w:t>
            </w:r>
          </w:p>
          <w:p>
            <w:pPr>
              <w:adjustRightInd w:val="0"/>
              <w:snapToGrid w:val="0"/>
              <w:spacing w:line="400" w:lineRule="exact"/>
              <w:rPr>
                <w:rFonts w:hint="eastAsia" w:ascii="仿宋" w:hAnsi="仿宋" w:eastAsia="仿宋" w:cs="仿宋"/>
                <w:sz w:val="28"/>
                <w:szCs w:val="32"/>
              </w:rPr>
            </w:pPr>
            <w:r>
              <w:rPr>
                <w:rFonts w:hint="eastAsia" w:ascii="仿宋" w:hAnsi="仿宋" w:eastAsia="仿宋" w:cs="仿宋"/>
                <w:sz w:val="28"/>
                <w:szCs w:val="32"/>
              </w:rPr>
              <w:t>（3）投标人近5年内满足资格审查条件(业绩最低条件)要求的业绩累计金额高的优先。</w:t>
            </w:r>
          </w:p>
          <w:p>
            <w:pPr>
              <w:pStyle w:val="5"/>
              <w:spacing w:line="400" w:lineRule="exact"/>
              <w:rPr>
                <w:rFonts w:hint="eastAsia" w:ascii="仿宋" w:hAnsi="仿宋" w:eastAsia="仿宋" w:cs="仿宋"/>
                <w:sz w:val="40"/>
                <w:szCs w:val="36"/>
              </w:rPr>
            </w:pPr>
            <w:r>
              <w:rPr>
                <w:rFonts w:hint="eastAsia" w:ascii="仿宋" w:hAnsi="仿宋" w:eastAsia="仿宋" w:cs="仿宋"/>
                <w:szCs w:val="28"/>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2.1.1</w:t>
            </w:r>
          </w:p>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2.1.3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形式评审与响应性评审标准</w:t>
            </w:r>
          </w:p>
        </w:tc>
        <w:tc>
          <w:tcPr>
            <w:tcW w:w="7197" w:type="dxa"/>
            <w:noWrap w:val="0"/>
            <w:vAlign w:val="top"/>
          </w:tcPr>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第一个信封（商务及技术文件）评审标准:</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（1）投标文件按照招标文件规定的格式、内容填写，字迹清晰可辨：</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a.投标函按招标文件规定填报了项目名称、补遗书编号（如有）、服务期限信息；</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b.投标文件组成齐全完整，内容均按规定填写。</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（2）投标文件上法定代表人或其委托代理人的签字、投标人的单位章盖章齐全，符合招标文件规定。</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（3）投标人按照招标文件的规定提供了投标保证金：</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a.投标保证金金额符合招标文件规定的金额，且投标保证金有效期不少于投标有效期；</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b.若投标保证金采用电汇或转账形式提交，投标人应在递交投标文件截止时间之前，将投标保证金由投标人的基本账户转入招标人指定账户；</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c.若投标保证金采用银行保函形式提交，银行保函的格式、开具保函的银行均满足招标文件要求，且在递交投标文件截止时间之前向招标人提交了银行保函原件。</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 xml:space="preserve">（4）投标人法定代表人授权委托代理人签署投标文件的，须提交授权委托书，授权委托书的签字盖章符合招标文件规定，授权委托书只能授权给一名委托代理人。 </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（5）投标人法定代表人亲自签署投标文件的，提供了法定代表人身份证明，法定代表人身份证明的签字盖章符合招标文件规定。</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（6）投标人未以联合体形式投标。</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（7）投标人未对本项目提出分包计划。</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（8）同一投标人未提交两个以上不同的投标文件。</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（9）投标文件中未出现有关投标报价的内容。</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（10）投标文件载明的招标项目完成期限未超过招标文件规定的时限。</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（11）投标文件对招标文件的实质性要求和条件作出响应。</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（12）权利义务符合招标文件规定：</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a.投标人应接受招标文件规定的风险划分原则，未提出新的风险划分办法；</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b.投标人未增加发包人的责任范围，或减少投标人义务；</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c.投标人未提出不同的支付办法；</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d.投标人对合同纠纷、事故处理办法未提出异议；</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e.投标人在投标活动中无欺诈行为；</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f.投标人未对合同条款有重要保留。</w:t>
            </w:r>
          </w:p>
          <w:p>
            <w:pPr>
              <w:tabs>
                <w:tab w:val="left" w:pos="3060"/>
              </w:tabs>
              <w:spacing w:line="400" w:lineRule="exact"/>
              <w:rPr>
                <w:rFonts w:hint="eastAsia" w:ascii="仿宋" w:hAnsi="仿宋" w:eastAsia="仿宋" w:cs="仿宋"/>
                <w:sz w:val="28"/>
                <w:szCs w:val="32"/>
              </w:rPr>
            </w:pPr>
            <w:r>
              <w:rPr>
                <w:rFonts w:hint="eastAsia" w:ascii="仿宋" w:hAnsi="仿宋" w:eastAsia="仿宋" w:cs="仿宋"/>
                <w:sz w:val="28"/>
                <w:szCs w:val="32"/>
              </w:rPr>
              <w:t>第二个信封（报价文件）评审标准：</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（1）投标文件按照招标文件规定的格式、内容填写，字迹清晰可辨：</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a.投标函按招标文件规定填报了项目名称、补遗书编号（如有）、投标价（包括大写金额和小写金额）；</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b．投标文件组成齐全完整，内容均按规定填写。</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32"/>
              </w:rPr>
              <w:t>（2）投标文件上法定代表人或其委托代理人的签字、投标人的单位章盖章齐全，符合招标文件规定。</w:t>
            </w:r>
          </w:p>
          <w:p>
            <w:pPr>
              <w:tabs>
                <w:tab w:val="left" w:pos="3060"/>
              </w:tabs>
              <w:snapToGrid w:val="0"/>
              <w:spacing w:line="400" w:lineRule="exact"/>
              <w:rPr>
                <w:rFonts w:hint="eastAsia" w:ascii="仿宋" w:hAnsi="仿宋" w:eastAsia="仿宋" w:cs="仿宋"/>
                <w:sz w:val="28"/>
                <w:szCs w:val="32"/>
              </w:rPr>
            </w:pPr>
            <w:r>
              <w:rPr>
                <w:rFonts w:hint="eastAsia" w:ascii="仿宋" w:hAnsi="仿宋" w:eastAsia="仿宋" w:cs="仿宋"/>
                <w:sz w:val="28"/>
                <w:szCs w:val="32"/>
              </w:rPr>
              <w:t>（3）投标报价中的报价未超过招标文件设定的最高投标限价。</w:t>
            </w:r>
          </w:p>
          <w:p>
            <w:pPr>
              <w:tabs>
                <w:tab w:val="left" w:pos="3060"/>
              </w:tabs>
              <w:snapToGrid w:val="0"/>
              <w:spacing w:line="400" w:lineRule="exact"/>
              <w:rPr>
                <w:rFonts w:hint="eastAsia" w:ascii="仿宋" w:hAnsi="仿宋" w:eastAsia="仿宋" w:cs="仿宋"/>
                <w:sz w:val="28"/>
                <w:szCs w:val="32"/>
              </w:rPr>
            </w:pPr>
            <w:r>
              <w:rPr>
                <w:rFonts w:hint="eastAsia" w:ascii="仿宋" w:hAnsi="仿宋" w:eastAsia="仿宋" w:cs="仿宋"/>
                <w:sz w:val="28"/>
                <w:szCs w:val="32"/>
              </w:rPr>
              <w:t>（4）投标报价中报价的大写金额能够确定具体数值。</w:t>
            </w:r>
          </w:p>
          <w:p>
            <w:pPr>
              <w:tabs>
                <w:tab w:val="left" w:pos="3060"/>
              </w:tabs>
              <w:snapToGrid w:val="0"/>
              <w:spacing w:line="400" w:lineRule="exact"/>
              <w:rPr>
                <w:rFonts w:hint="eastAsia" w:ascii="仿宋" w:hAnsi="仿宋" w:eastAsia="仿宋" w:cs="仿宋"/>
                <w:sz w:val="28"/>
                <w:szCs w:val="32"/>
              </w:rPr>
            </w:pPr>
            <w:r>
              <w:rPr>
                <w:rFonts w:hint="eastAsia" w:ascii="仿宋" w:hAnsi="仿宋" w:eastAsia="仿宋" w:cs="仿宋"/>
                <w:sz w:val="28"/>
                <w:szCs w:val="32"/>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2.1.2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资格评审标准</w:t>
            </w:r>
          </w:p>
        </w:tc>
        <w:tc>
          <w:tcPr>
            <w:tcW w:w="7197" w:type="dxa"/>
            <w:noWrap w:val="0"/>
            <w:vAlign w:val="top"/>
          </w:tcPr>
          <w:p>
            <w:pPr>
              <w:tabs>
                <w:tab w:val="left" w:pos="3060"/>
              </w:tabs>
              <w:spacing w:line="400" w:lineRule="exact"/>
              <w:rPr>
                <w:rFonts w:hint="eastAsia" w:ascii="仿宋" w:hAnsi="仿宋" w:eastAsia="仿宋" w:cs="仿宋"/>
                <w:sz w:val="28"/>
                <w:szCs w:val="28"/>
              </w:rPr>
            </w:pPr>
            <w:r>
              <w:rPr>
                <w:rFonts w:hint="eastAsia" w:ascii="仿宋" w:hAnsi="仿宋" w:eastAsia="仿宋" w:cs="仿宋"/>
                <w:sz w:val="28"/>
                <w:szCs w:val="28"/>
              </w:rPr>
              <w:t>（1）投标人具备有效的营业执照、组织机构代码证（三证合一或五证合一的除外）和基本账户开户许可证（或基本存款账户信息）；</w:t>
            </w:r>
          </w:p>
          <w:p>
            <w:pPr>
              <w:pStyle w:val="5"/>
              <w:spacing w:line="400" w:lineRule="exact"/>
              <w:rPr>
                <w:rFonts w:hint="eastAsia" w:ascii="仿宋" w:hAnsi="仿宋" w:eastAsia="仿宋" w:cs="仿宋"/>
                <w:szCs w:val="28"/>
              </w:rPr>
            </w:pPr>
            <w:r>
              <w:rPr>
                <w:rFonts w:hint="eastAsia" w:ascii="仿宋" w:hAnsi="仿宋" w:eastAsia="仿宋" w:cs="仿宋"/>
                <w:szCs w:val="28"/>
              </w:rPr>
              <w:t>（2）投标人的类似项目业绩符合招标文件规定；</w:t>
            </w:r>
          </w:p>
          <w:p>
            <w:pPr>
              <w:tabs>
                <w:tab w:val="left" w:pos="3060"/>
              </w:tabs>
              <w:spacing w:line="400" w:lineRule="exact"/>
              <w:rPr>
                <w:rFonts w:hint="eastAsia" w:ascii="仿宋" w:hAnsi="仿宋" w:eastAsia="仿宋" w:cs="仿宋"/>
                <w:sz w:val="28"/>
                <w:szCs w:val="28"/>
              </w:rPr>
            </w:pPr>
            <w:r>
              <w:rPr>
                <w:rFonts w:hint="eastAsia" w:ascii="仿宋" w:hAnsi="仿宋" w:eastAsia="仿宋" w:cs="仿宋"/>
                <w:sz w:val="28"/>
                <w:szCs w:val="28"/>
              </w:rPr>
              <w:t>（3）投标人的信誉符合招标文件规定；</w:t>
            </w:r>
          </w:p>
          <w:p>
            <w:pPr>
              <w:tabs>
                <w:tab w:val="left" w:pos="3060"/>
              </w:tabs>
              <w:spacing w:line="400" w:lineRule="exact"/>
              <w:rPr>
                <w:rFonts w:hint="eastAsia" w:ascii="仿宋" w:hAnsi="仿宋" w:eastAsia="仿宋" w:cs="仿宋"/>
                <w:sz w:val="28"/>
                <w:szCs w:val="28"/>
              </w:rPr>
            </w:pPr>
            <w:r>
              <w:rPr>
                <w:rFonts w:hint="eastAsia" w:ascii="仿宋" w:hAnsi="仿宋" w:eastAsia="仿宋" w:cs="仿宋"/>
                <w:sz w:val="28"/>
                <w:szCs w:val="28"/>
              </w:rPr>
              <w:t>（4）投标人不存在第二章“投标人须知”第1.4.3项和1.4.4项规定的任何一种情形。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条款号</w:t>
            </w:r>
          </w:p>
        </w:tc>
        <w:tc>
          <w:tcPr>
            <w:tcW w:w="1317" w:type="dxa"/>
            <w:noWrap w:val="0"/>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条款内容</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32"/>
              </w:rPr>
            </w:pPr>
            <w:r>
              <w:rPr>
                <w:rFonts w:hint="eastAsia" w:ascii="仿宋" w:hAnsi="仿宋" w:eastAsia="仿宋" w:cs="仿宋"/>
                <w:sz w:val="28"/>
                <w:szCs w:val="32"/>
              </w:rPr>
              <w:t>2.2.1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32"/>
              </w:rPr>
            </w:pPr>
            <w:r>
              <w:rPr>
                <w:rFonts w:hint="eastAsia" w:ascii="仿宋" w:hAnsi="仿宋" w:eastAsia="仿宋" w:cs="仿宋"/>
                <w:sz w:val="28"/>
                <w:szCs w:val="32"/>
              </w:rPr>
              <w:t>分值构成（总分100分）</w:t>
            </w:r>
          </w:p>
        </w:tc>
        <w:tc>
          <w:tcPr>
            <w:tcW w:w="7197" w:type="dxa"/>
            <w:noWrap w:val="0"/>
            <w:vAlign w:val="center"/>
          </w:tcPr>
          <w:p>
            <w:pPr>
              <w:adjustRightInd w:val="0"/>
              <w:snapToGrid w:val="0"/>
              <w:spacing w:line="400" w:lineRule="exact"/>
              <w:rPr>
                <w:rFonts w:hint="eastAsia" w:ascii="仿宋" w:hAnsi="仿宋" w:eastAsia="仿宋" w:cs="仿宋"/>
                <w:b/>
                <w:sz w:val="28"/>
                <w:szCs w:val="32"/>
              </w:rPr>
            </w:pPr>
            <w:r>
              <w:rPr>
                <w:rFonts w:hint="eastAsia" w:ascii="仿宋" w:hAnsi="仿宋" w:eastAsia="仿宋" w:cs="仿宋"/>
                <w:b/>
                <w:sz w:val="28"/>
                <w:szCs w:val="32"/>
              </w:rPr>
              <w:t>第一个信封（商务及技术文件）评分分值构成：</w:t>
            </w:r>
          </w:p>
          <w:p>
            <w:pPr>
              <w:adjustRightInd w:val="0"/>
              <w:snapToGrid w:val="0"/>
              <w:spacing w:line="400" w:lineRule="exact"/>
              <w:rPr>
                <w:rFonts w:hint="eastAsia" w:ascii="仿宋" w:hAnsi="仿宋" w:eastAsia="仿宋" w:cs="仿宋"/>
                <w:sz w:val="28"/>
                <w:szCs w:val="32"/>
              </w:rPr>
            </w:pPr>
            <w:r>
              <w:rPr>
                <w:rFonts w:hint="eastAsia" w:ascii="仿宋" w:hAnsi="仿宋" w:eastAsia="仿宋" w:cs="仿宋"/>
                <w:sz w:val="28"/>
                <w:szCs w:val="32"/>
              </w:rPr>
              <w:t>同类业绩：       20分</w:t>
            </w:r>
          </w:p>
          <w:p>
            <w:pPr>
              <w:adjustRightInd w:val="0"/>
              <w:snapToGrid w:val="0"/>
              <w:spacing w:line="400" w:lineRule="exact"/>
              <w:rPr>
                <w:rFonts w:hint="eastAsia" w:ascii="仿宋" w:hAnsi="仿宋" w:eastAsia="仿宋" w:cs="仿宋"/>
                <w:sz w:val="28"/>
                <w:szCs w:val="32"/>
              </w:rPr>
            </w:pPr>
            <w:r>
              <w:rPr>
                <w:rFonts w:hint="eastAsia" w:ascii="仿宋" w:hAnsi="仿宋" w:eastAsia="仿宋" w:cs="仿宋"/>
                <w:sz w:val="28"/>
                <w:szCs w:val="32"/>
              </w:rPr>
              <w:t>服务方案：       70分</w:t>
            </w:r>
          </w:p>
          <w:p>
            <w:pPr>
              <w:adjustRightInd w:val="0"/>
              <w:snapToGrid w:val="0"/>
              <w:spacing w:line="400" w:lineRule="exact"/>
              <w:rPr>
                <w:rFonts w:hint="eastAsia" w:ascii="仿宋" w:hAnsi="仿宋" w:eastAsia="仿宋" w:cs="仿宋"/>
                <w:b/>
                <w:sz w:val="28"/>
                <w:szCs w:val="32"/>
              </w:rPr>
            </w:pPr>
            <w:r>
              <w:rPr>
                <w:rFonts w:hint="eastAsia" w:ascii="仿宋" w:hAnsi="仿宋" w:eastAsia="仿宋" w:cs="仿宋"/>
                <w:b/>
                <w:sz w:val="28"/>
                <w:szCs w:val="32"/>
              </w:rPr>
              <w:t>第二个信封（报价文件）评分分值构成：</w:t>
            </w:r>
          </w:p>
          <w:p>
            <w:pPr>
              <w:adjustRightInd w:val="0"/>
              <w:snapToGrid w:val="0"/>
              <w:spacing w:line="400" w:lineRule="exact"/>
              <w:rPr>
                <w:rFonts w:hint="eastAsia" w:ascii="仿宋" w:hAnsi="仿宋" w:eastAsia="仿宋" w:cs="仿宋"/>
                <w:sz w:val="28"/>
                <w:szCs w:val="32"/>
              </w:rPr>
            </w:pPr>
            <w:r>
              <w:rPr>
                <w:rFonts w:hint="eastAsia" w:ascii="仿宋" w:hAnsi="仿宋" w:eastAsia="仿宋" w:cs="仿宋"/>
                <w:sz w:val="28"/>
                <w:szCs w:val="32"/>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2.2.2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评标基准价计算方法</w:t>
            </w:r>
          </w:p>
        </w:tc>
        <w:tc>
          <w:tcPr>
            <w:tcW w:w="7197" w:type="dxa"/>
            <w:noWrap w:val="0"/>
            <w:vAlign w:val="center"/>
          </w:tcPr>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评标基准价的计算：</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 xml:space="preserve">  开标现场，招标人将当场计算并宣布评标基准价。</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1、评标价的确定：</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评标价=投标函文字报价</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2、评标价平均值的计算：</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 xml:space="preserve">3、评标基准价的确定： </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 xml:space="preserve">评标价平均值直接作为评标基准价。 </w:t>
            </w:r>
          </w:p>
          <w:p>
            <w:pPr>
              <w:pStyle w:val="10"/>
              <w:spacing w:line="400" w:lineRule="exact"/>
              <w:ind w:firstLine="0" w:firstLineChars="0"/>
              <w:rPr>
                <w:rFonts w:hint="eastAsia" w:ascii="仿宋" w:hAnsi="仿宋" w:eastAsia="仿宋" w:cs="仿宋"/>
                <w:sz w:val="28"/>
                <w:szCs w:val="24"/>
              </w:rPr>
            </w:pPr>
            <w:r>
              <w:rPr>
                <w:rFonts w:hint="eastAsia" w:ascii="仿宋" w:hAnsi="仿宋" w:eastAsia="仿宋" w:cs="仿宋"/>
                <w:sz w:val="28"/>
                <w:szCs w:val="24"/>
              </w:rPr>
              <w:t>评标基准价保留小数点后两位，小数点后第三位四舍五入。</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32"/>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2.2.3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评标价的偏差率计算公式</w:t>
            </w:r>
          </w:p>
        </w:tc>
        <w:tc>
          <w:tcPr>
            <w:tcW w:w="7197" w:type="dxa"/>
            <w:noWrap w:val="0"/>
            <w:vAlign w:val="center"/>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32"/>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3.6.1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信息查询</w:t>
            </w:r>
          </w:p>
        </w:tc>
        <w:tc>
          <w:tcPr>
            <w:tcW w:w="7197" w:type="dxa"/>
            <w:noWrap w:val="0"/>
            <w:vAlign w:val="center"/>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在评标过程中，评标委员会应对以下信息进行查询：</w:t>
            </w:r>
          </w:p>
          <w:p>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400" w:lineRule="exact"/>
              <w:rPr>
                <w:rFonts w:hint="eastAsia" w:ascii="仿宋" w:hAnsi="仿宋" w:eastAsia="仿宋" w:cs="仿宋"/>
                <w:sz w:val="28"/>
                <w:szCs w:val="32"/>
              </w:rPr>
            </w:pPr>
            <w:r>
              <w:rPr>
                <w:rFonts w:hint="eastAsia" w:ascii="仿宋" w:hAnsi="仿宋" w:eastAsia="仿宋" w:cs="仿宋"/>
                <w:sz w:val="28"/>
                <w:szCs w:val="28"/>
              </w:rPr>
              <w:t>若投标人未提供相关网页截图或所附截图与核查结果不一致使得投标人的资格条件不符合招标文件规定的，评标委员会应否决其投标。</w:t>
            </w:r>
          </w:p>
        </w:tc>
      </w:tr>
    </w:tbl>
    <w:p>
      <w:pPr>
        <w:snapToGrid w:val="0"/>
        <w:spacing w:line="400" w:lineRule="exact"/>
        <w:jc w:val="left"/>
        <w:rPr>
          <w:rFonts w:hint="eastAsia" w:ascii="仿宋" w:hAnsi="仿宋" w:eastAsia="仿宋" w:cs="仿宋"/>
          <w:sz w:val="32"/>
          <w:szCs w:val="36"/>
        </w:rPr>
      </w:pPr>
    </w:p>
    <w:p>
      <w:pPr>
        <w:snapToGrid w:val="0"/>
        <w:spacing w:line="360" w:lineRule="auto"/>
        <w:jc w:val="left"/>
        <w:rPr>
          <w:rFonts w:hint="eastAsia" w:ascii="仿宋" w:hAnsi="仿宋" w:eastAsia="仿宋" w:cs="仿宋"/>
        </w:rPr>
      </w:pPr>
      <w:r>
        <w:rPr>
          <w:rFonts w:hint="eastAsia" w:ascii="仿宋" w:hAnsi="仿宋" w:eastAsia="仿宋" w:cs="仿宋"/>
        </w:rPr>
        <w:br w:type="page"/>
      </w:r>
    </w:p>
    <w:tbl>
      <w:tblPr>
        <w:tblStyle w:val="11"/>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54" w:type="dxa"/>
            <w:gridSpan w:val="2"/>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评审项目</w:t>
            </w:r>
          </w:p>
        </w:tc>
        <w:tc>
          <w:tcPr>
            <w:tcW w:w="843"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标准分</w:t>
            </w:r>
          </w:p>
        </w:tc>
        <w:tc>
          <w:tcPr>
            <w:tcW w:w="5978"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评     分     标     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napToGrid w:val="0"/>
              <w:spacing w:line="400" w:lineRule="exact"/>
              <w:jc w:val="center"/>
              <w:rPr>
                <w:rFonts w:hint="eastAsia" w:ascii="仿宋" w:hAnsi="仿宋" w:eastAsia="仿宋" w:cs="仿宋"/>
                <w:bCs/>
                <w:w w:val="90"/>
                <w:sz w:val="28"/>
                <w:szCs w:val="28"/>
              </w:rPr>
            </w:pPr>
            <w:r>
              <w:rPr>
                <w:rFonts w:hint="eastAsia" w:ascii="仿宋" w:hAnsi="仿宋" w:eastAsia="仿宋" w:cs="仿宋"/>
                <w:bCs/>
                <w:w w:val="90"/>
                <w:sz w:val="28"/>
                <w:szCs w:val="28"/>
              </w:rPr>
              <w:t>1</w:t>
            </w:r>
          </w:p>
        </w:tc>
        <w:tc>
          <w:tcPr>
            <w:tcW w:w="2154" w:type="dxa"/>
            <w:gridSpan w:val="2"/>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同类业绩</w:t>
            </w:r>
          </w:p>
        </w:tc>
        <w:tc>
          <w:tcPr>
            <w:tcW w:w="843" w:type="dxa"/>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20分</w:t>
            </w:r>
          </w:p>
        </w:tc>
        <w:tc>
          <w:tcPr>
            <w:tcW w:w="5978" w:type="dxa"/>
            <w:noWrap w:val="0"/>
            <w:vAlign w:val="center"/>
          </w:tcPr>
          <w:p>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满足资格审查条件(业绩最低要求)得12分；</w:t>
            </w:r>
          </w:p>
          <w:p>
            <w:pPr>
              <w:snapToGrid w:val="0"/>
              <w:spacing w:line="400" w:lineRule="exact"/>
              <w:rPr>
                <w:rFonts w:hint="eastAsia" w:ascii="仿宋" w:hAnsi="仿宋" w:eastAsia="仿宋" w:cs="仿宋"/>
                <w:bCs/>
                <w:sz w:val="28"/>
                <w:szCs w:val="28"/>
              </w:rPr>
            </w:pPr>
            <w:r>
              <w:rPr>
                <w:rFonts w:hint="eastAsia" w:ascii="仿宋" w:hAnsi="仿宋" w:eastAsia="仿宋" w:cs="仿宋"/>
                <w:sz w:val="28"/>
                <w:szCs w:val="28"/>
              </w:rPr>
              <w:t>近3年内（2019年12月1日至今，以合同签订时间为准）</w:t>
            </w:r>
            <w:r>
              <w:rPr>
                <w:rFonts w:hint="eastAsia" w:ascii="仿宋" w:hAnsi="仿宋" w:eastAsia="仿宋" w:cs="仿宋"/>
                <w:bCs/>
                <w:sz w:val="28"/>
                <w:szCs w:val="28"/>
              </w:rPr>
              <w:t>每增加一项劳务派遣项目业绩加4分，最高加8分。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restart"/>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rPr>
            </w:pPr>
            <w:r>
              <w:rPr>
                <w:rFonts w:hint="eastAsia" w:ascii="仿宋" w:hAnsi="仿宋" w:eastAsia="仿宋" w:cs="仿宋"/>
                <w:bCs/>
                <w:w w:val="90"/>
                <w:sz w:val="28"/>
                <w:szCs w:val="28"/>
              </w:rPr>
              <w:t>2</w:t>
            </w:r>
          </w:p>
        </w:tc>
        <w:tc>
          <w:tcPr>
            <w:tcW w:w="1030" w:type="dxa"/>
            <w:vMerge w:val="restart"/>
            <w:tcBorders>
              <w:left w:val="single" w:color="auto" w:sz="2" w:space="0"/>
              <w:righ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rPr>
            </w:pPr>
            <w:r>
              <w:rPr>
                <w:rFonts w:hint="eastAsia" w:ascii="仿宋" w:hAnsi="仿宋" w:eastAsia="仿宋" w:cs="仿宋"/>
                <w:bCs/>
                <w:sz w:val="28"/>
                <w:szCs w:val="28"/>
              </w:rPr>
              <w:t>服务方案</w:t>
            </w:r>
          </w:p>
          <w:p>
            <w:pPr>
              <w:snapToGrid w:val="0"/>
              <w:spacing w:before="120" w:beforeLines="50" w:after="120" w:afterLines="50" w:line="400" w:lineRule="exact"/>
              <w:jc w:val="center"/>
              <w:rPr>
                <w:rFonts w:hint="eastAsia" w:ascii="仿宋" w:hAnsi="仿宋" w:eastAsia="仿宋" w:cs="仿宋"/>
                <w:bCs/>
                <w:sz w:val="28"/>
                <w:szCs w:val="28"/>
              </w:rPr>
            </w:pPr>
            <w:r>
              <w:rPr>
                <w:rFonts w:hint="eastAsia" w:ascii="仿宋" w:hAnsi="仿宋" w:eastAsia="仿宋" w:cs="仿宋"/>
                <w:bCs/>
                <w:sz w:val="28"/>
                <w:szCs w:val="28"/>
              </w:rPr>
              <w:t>（70分）</w:t>
            </w:r>
          </w:p>
        </w:tc>
        <w:tc>
          <w:tcPr>
            <w:tcW w:w="1124" w:type="dxa"/>
            <w:tcBorders>
              <w:lef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rPr>
            </w:pPr>
            <w:r>
              <w:rPr>
                <w:rFonts w:hint="eastAsia" w:ascii="仿宋" w:hAnsi="仿宋" w:eastAsia="仿宋" w:cs="仿宋"/>
                <w:bCs/>
                <w:sz w:val="28"/>
                <w:szCs w:val="28"/>
              </w:rPr>
              <w:t>组织机构及项目团队</w:t>
            </w:r>
          </w:p>
        </w:tc>
        <w:tc>
          <w:tcPr>
            <w:tcW w:w="843" w:type="dxa"/>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20分</w:t>
            </w:r>
          </w:p>
        </w:tc>
        <w:tc>
          <w:tcPr>
            <w:tcW w:w="5978" w:type="dxa"/>
            <w:noWrap w:val="0"/>
            <w:vAlign w:val="center"/>
          </w:tcPr>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根据投标人项目实施团队的组织机构和人员配备优劣进行比较打分：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第一档，组织管理机构完善、合理，团队人员构成专业性强、经验丰富符合项目特点的，得1</w:t>
            </w:r>
            <w:r>
              <w:rPr>
                <w:rFonts w:hint="eastAsia" w:ascii="仿宋" w:hAnsi="仿宋" w:eastAsia="仿宋" w:cs="仿宋"/>
                <w:bCs/>
                <w:sz w:val="28"/>
                <w:szCs w:val="28"/>
                <w:lang w:val="en-US" w:eastAsia="zh-CN"/>
              </w:rPr>
              <w:t>8</w:t>
            </w:r>
            <w:r>
              <w:rPr>
                <w:rFonts w:hint="eastAsia" w:ascii="仿宋" w:hAnsi="仿宋" w:eastAsia="仿宋" w:cs="仿宋"/>
                <w:bCs/>
                <w:sz w:val="28"/>
                <w:szCs w:val="28"/>
              </w:rPr>
              <w:t xml:space="preserve">.01-20分； </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第二档，组织管理机构健全、合理，团队人员构成和专业性较好，相关经验较丰富，符合项目需求的，得1</w:t>
            </w:r>
            <w:r>
              <w:rPr>
                <w:rFonts w:hint="eastAsia" w:ascii="仿宋" w:hAnsi="仿宋" w:eastAsia="仿宋" w:cs="仿宋"/>
                <w:bCs/>
                <w:sz w:val="28"/>
                <w:szCs w:val="28"/>
                <w:lang w:val="en-US" w:eastAsia="zh-CN"/>
              </w:rPr>
              <w:t>5</w:t>
            </w:r>
            <w:r>
              <w:rPr>
                <w:rFonts w:hint="eastAsia" w:ascii="仿宋" w:hAnsi="仿宋" w:eastAsia="仿宋" w:cs="仿宋"/>
                <w:bCs/>
                <w:sz w:val="28"/>
                <w:szCs w:val="28"/>
              </w:rPr>
              <w:t>.01-</w:t>
            </w:r>
            <w:r>
              <w:rPr>
                <w:rFonts w:hint="eastAsia" w:ascii="仿宋" w:hAnsi="仿宋" w:eastAsia="仿宋" w:cs="仿宋"/>
                <w:bCs/>
                <w:sz w:val="28"/>
                <w:szCs w:val="28"/>
                <w:lang w:val="en-US" w:eastAsia="zh-CN"/>
              </w:rPr>
              <w:t>18</w:t>
            </w:r>
            <w:r>
              <w:rPr>
                <w:rFonts w:hint="eastAsia" w:ascii="仿宋" w:hAnsi="仿宋" w:eastAsia="仿宋" w:cs="仿宋"/>
                <w:bCs/>
                <w:sz w:val="28"/>
                <w:szCs w:val="28"/>
              </w:rPr>
              <w:t xml:space="preserve">分； </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第三档，组织管理机构和人员构成基本合理，专业性和相关经验有欠缺或低于其他档次投标人，得1</w:t>
            </w:r>
            <w:r>
              <w:rPr>
                <w:rFonts w:hint="eastAsia" w:ascii="仿宋" w:hAnsi="仿宋" w:eastAsia="仿宋" w:cs="仿宋"/>
                <w:bCs/>
                <w:sz w:val="28"/>
                <w:szCs w:val="28"/>
                <w:lang w:val="en-US" w:eastAsia="zh-CN"/>
              </w:rPr>
              <w:t>2</w:t>
            </w:r>
            <w:r>
              <w:rPr>
                <w:rFonts w:hint="eastAsia" w:ascii="仿宋" w:hAnsi="仿宋" w:eastAsia="仿宋" w:cs="仿宋"/>
                <w:bCs/>
                <w:sz w:val="28"/>
                <w:szCs w:val="28"/>
              </w:rPr>
              <w:t>-1</w:t>
            </w:r>
            <w:r>
              <w:rPr>
                <w:rFonts w:hint="eastAsia" w:ascii="仿宋" w:hAnsi="仿宋" w:eastAsia="仿宋" w:cs="仿宋"/>
                <w:bCs/>
                <w:sz w:val="28"/>
                <w:szCs w:val="28"/>
                <w:lang w:val="en-US" w:eastAsia="zh-CN"/>
              </w:rPr>
              <w:t>5</w:t>
            </w:r>
            <w:r>
              <w:rPr>
                <w:rFonts w:hint="eastAsia" w:ascii="仿宋" w:hAnsi="仿宋" w:eastAsia="仿宋" w:cs="仿宋"/>
                <w:bCs/>
                <w:sz w:val="28"/>
                <w:szCs w:val="28"/>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实施计划及服务方案</w:t>
            </w:r>
          </w:p>
        </w:tc>
        <w:tc>
          <w:tcPr>
            <w:tcW w:w="843" w:type="dxa"/>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20分</w:t>
            </w:r>
          </w:p>
        </w:tc>
        <w:tc>
          <w:tcPr>
            <w:tcW w:w="5978" w:type="dxa"/>
            <w:noWrap w:val="0"/>
            <w:vAlign w:val="center"/>
          </w:tcPr>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第一档，实施计划科学合理，总体方案完整、内容齐全，有针对性，得1</w:t>
            </w:r>
            <w:r>
              <w:rPr>
                <w:rFonts w:hint="eastAsia" w:ascii="仿宋" w:hAnsi="仿宋" w:eastAsia="仿宋" w:cs="仿宋"/>
                <w:bCs/>
                <w:sz w:val="28"/>
                <w:szCs w:val="28"/>
                <w:lang w:val="en-US" w:eastAsia="zh-CN"/>
              </w:rPr>
              <w:t>8</w:t>
            </w:r>
            <w:r>
              <w:rPr>
                <w:rFonts w:hint="eastAsia" w:ascii="仿宋" w:hAnsi="仿宋" w:eastAsia="仿宋" w:cs="仿宋"/>
                <w:bCs/>
                <w:sz w:val="28"/>
                <w:szCs w:val="28"/>
              </w:rPr>
              <w:t>.01-20分；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第二档，实施计划较科学合理，总体方案较完整，得1</w:t>
            </w:r>
            <w:r>
              <w:rPr>
                <w:rFonts w:hint="eastAsia" w:ascii="仿宋" w:hAnsi="仿宋" w:eastAsia="仿宋" w:cs="仿宋"/>
                <w:bCs/>
                <w:sz w:val="28"/>
                <w:szCs w:val="28"/>
                <w:lang w:val="en-US" w:eastAsia="zh-CN"/>
              </w:rPr>
              <w:t>5</w:t>
            </w:r>
            <w:r>
              <w:rPr>
                <w:rFonts w:hint="eastAsia" w:ascii="仿宋" w:hAnsi="仿宋" w:eastAsia="仿宋" w:cs="仿宋"/>
                <w:bCs/>
                <w:sz w:val="28"/>
                <w:szCs w:val="28"/>
              </w:rPr>
              <w:t>.01-1</w:t>
            </w:r>
            <w:r>
              <w:rPr>
                <w:rFonts w:hint="eastAsia" w:ascii="仿宋" w:hAnsi="仿宋" w:eastAsia="仿宋" w:cs="仿宋"/>
                <w:bCs/>
                <w:sz w:val="28"/>
                <w:szCs w:val="28"/>
                <w:lang w:val="en-US" w:eastAsia="zh-CN"/>
              </w:rPr>
              <w:t>8</w:t>
            </w:r>
            <w:r>
              <w:rPr>
                <w:rFonts w:hint="eastAsia" w:ascii="仿宋" w:hAnsi="仿宋" w:eastAsia="仿宋" w:cs="仿宋"/>
                <w:bCs/>
                <w:sz w:val="28"/>
                <w:szCs w:val="28"/>
              </w:rPr>
              <w:t>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第三档，实施计划欠合理，总体方案过于简单，得1</w:t>
            </w:r>
            <w:r>
              <w:rPr>
                <w:rFonts w:hint="eastAsia" w:ascii="仿宋" w:hAnsi="仿宋" w:eastAsia="仿宋" w:cs="仿宋"/>
                <w:bCs/>
                <w:sz w:val="28"/>
                <w:szCs w:val="28"/>
                <w:lang w:val="en-US" w:eastAsia="zh-CN"/>
              </w:rPr>
              <w:t>2</w:t>
            </w:r>
            <w:r>
              <w:rPr>
                <w:rFonts w:hint="eastAsia" w:ascii="仿宋" w:hAnsi="仿宋" w:eastAsia="仿宋" w:cs="仿宋"/>
                <w:bCs/>
                <w:sz w:val="28"/>
                <w:szCs w:val="28"/>
              </w:rPr>
              <w:t>-1</w:t>
            </w:r>
            <w:r>
              <w:rPr>
                <w:rFonts w:hint="eastAsia" w:ascii="仿宋" w:hAnsi="仿宋" w:eastAsia="仿宋" w:cs="仿宋"/>
                <w:bCs/>
                <w:sz w:val="28"/>
                <w:szCs w:val="28"/>
                <w:lang w:val="en-US" w:eastAsia="zh-CN"/>
              </w:rPr>
              <w:t>5</w:t>
            </w:r>
            <w:r>
              <w:rPr>
                <w:rFonts w:hint="eastAsia" w:ascii="仿宋" w:hAnsi="仿宋" w:eastAsia="仿宋" w:cs="仿宋"/>
                <w:bCs/>
                <w:sz w:val="28"/>
                <w:szCs w:val="28"/>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日常管理标准及措施</w:t>
            </w:r>
          </w:p>
        </w:tc>
        <w:tc>
          <w:tcPr>
            <w:tcW w:w="843" w:type="dxa"/>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10分</w:t>
            </w:r>
          </w:p>
        </w:tc>
        <w:tc>
          <w:tcPr>
            <w:tcW w:w="5978" w:type="dxa"/>
            <w:noWrap w:val="0"/>
            <w:vAlign w:val="center"/>
          </w:tcPr>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第一档，科学合理，内容详细，得</w:t>
            </w:r>
            <w:r>
              <w:rPr>
                <w:rFonts w:hint="eastAsia" w:ascii="仿宋" w:hAnsi="仿宋" w:eastAsia="仿宋" w:cs="仿宋"/>
                <w:bCs/>
                <w:sz w:val="28"/>
                <w:szCs w:val="28"/>
                <w:lang w:val="en-US" w:eastAsia="zh-CN"/>
              </w:rPr>
              <w:t>9</w:t>
            </w:r>
            <w:r>
              <w:rPr>
                <w:rFonts w:hint="eastAsia" w:ascii="仿宋" w:hAnsi="仿宋" w:eastAsia="仿宋" w:cs="仿宋"/>
                <w:bCs/>
                <w:sz w:val="28"/>
                <w:szCs w:val="28"/>
              </w:rPr>
              <w:t>.01-10分；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第二档，较科学合理，内容较详细，得</w:t>
            </w:r>
            <w:r>
              <w:rPr>
                <w:rFonts w:hint="eastAsia" w:ascii="仿宋" w:hAnsi="仿宋" w:eastAsia="仿宋" w:cs="仿宋"/>
                <w:bCs/>
                <w:sz w:val="28"/>
                <w:szCs w:val="28"/>
                <w:lang w:val="en-US" w:eastAsia="zh-CN"/>
              </w:rPr>
              <w:t>7</w:t>
            </w:r>
            <w:r>
              <w:rPr>
                <w:rFonts w:hint="eastAsia" w:ascii="仿宋" w:hAnsi="仿宋" w:eastAsia="仿宋" w:cs="仿宋"/>
                <w:bCs/>
                <w:sz w:val="28"/>
                <w:szCs w:val="28"/>
              </w:rPr>
              <w:t>.</w:t>
            </w:r>
            <w:r>
              <w:rPr>
                <w:rFonts w:hint="eastAsia" w:ascii="仿宋" w:hAnsi="仿宋" w:eastAsia="仿宋" w:cs="仿宋"/>
                <w:bCs/>
                <w:sz w:val="28"/>
                <w:szCs w:val="28"/>
                <w:lang w:val="en-US" w:eastAsia="zh-CN"/>
              </w:rPr>
              <w:t>51</w:t>
            </w:r>
            <w:r>
              <w:rPr>
                <w:rFonts w:hint="eastAsia" w:ascii="仿宋" w:hAnsi="仿宋" w:eastAsia="仿宋" w:cs="仿宋"/>
                <w:bCs/>
                <w:sz w:val="28"/>
                <w:szCs w:val="28"/>
              </w:rPr>
              <w:t>-</w:t>
            </w:r>
            <w:r>
              <w:rPr>
                <w:rFonts w:hint="eastAsia" w:ascii="仿宋" w:hAnsi="仿宋" w:eastAsia="仿宋" w:cs="仿宋"/>
                <w:bCs/>
                <w:sz w:val="28"/>
                <w:szCs w:val="28"/>
                <w:lang w:val="en-US" w:eastAsia="zh-CN"/>
              </w:rPr>
              <w:t>9</w:t>
            </w:r>
            <w:r>
              <w:rPr>
                <w:rFonts w:hint="eastAsia" w:ascii="仿宋" w:hAnsi="仿宋" w:eastAsia="仿宋" w:cs="仿宋"/>
                <w:bCs/>
                <w:sz w:val="28"/>
                <w:szCs w:val="28"/>
              </w:rPr>
              <w:t>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第三档，欠合理，内容过于简单，得</w:t>
            </w:r>
            <w:r>
              <w:rPr>
                <w:rFonts w:hint="eastAsia" w:ascii="仿宋" w:hAnsi="仿宋" w:eastAsia="仿宋" w:cs="仿宋"/>
                <w:bCs/>
                <w:sz w:val="28"/>
                <w:szCs w:val="28"/>
                <w:lang w:val="en-US" w:eastAsia="zh-CN"/>
              </w:rPr>
              <w:t>6</w:t>
            </w:r>
            <w:r>
              <w:rPr>
                <w:rFonts w:hint="eastAsia" w:ascii="仿宋" w:hAnsi="仿宋" w:eastAsia="仿宋" w:cs="仿宋"/>
                <w:bCs/>
                <w:sz w:val="28"/>
                <w:szCs w:val="28"/>
              </w:rPr>
              <w:t>-</w:t>
            </w:r>
            <w:r>
              <w:rPr>
                <w:rFonts w:hint="eastAsia" w:ascii="仿宋" w:hAnsi="仿宋" w:eastAsia="仿宋" w:cs="仿宋"/>
                <w:bCs/>
                <w:sz w:val="28"/>
                <w:szCs w:val="28"/>
                <w:lang w:val="en-US" w:eastAsia="zh-CN"/>
              </w:rPr>
              <w:t>7.5</w:t>
            </w:r>
            <w:r>
              <w:rPr>
                <w:rFonts w:hint="eastAsia" w:ascii="仿宋" w:hAnsi="仿宋" w:eastAsia="仿宋" w:cs="仿宋"/>
                <w:bCs/>
                <w:sz w:val="28"/>
                <w:szCs w:val="28"/>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内部规章制度及人员考核培训方案</w:t>
            </w:r>
          </w:p>
        </w:tc>
        <w:tc>
          <w:tcPr>
            <w:tcW w:w="843" w:type="dxa"/>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10分</w:t>
            </w:r>
          </w:p>
        </w:tc>
        <w:tc>
          <w:tcPr>
            <w:tcW w:w="5978" w:type="dxa"/>
            <w:noWrap w:val="0"/>
            <w:vAlign w:val="center"/>
          </w:tcPr>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第一档，科学合理、完善可行、有针对性，得</w:t>
            </w:r>
            <w:r>
              <w:rPr>
                <w:rFonts w:hint="eastAsia" w:ascii="仿宋" w:hAnsi="仿宋" w:eastAsia="仿宋" w:cs="仿宋"/>
                <w:bCs/>
                <w:sz w:val="28"/>
                <w:szCs w:val="28"/>
                <w:lang w:val="en-US" w:eastAsia="zh-CN"/>
              </w:rPr>
              <w:t>9</w:t>
            </w:r>
            <w:r>
              <w:rPr>
                <w:rFonts w:hint="eastAsia" w:ascii="仿宋" w:hAnsi="仿宋" w:eastAsia="仿宋" w:cs="仿宋"/>
                <w:bCs/>
                <w:sz w:val="28"/>
                <w:szCs w:val="28"/>
              </w:rPr>
              <w:t>.01-10分；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第二档，较科学、较完善可行、较有针对性，得</w:t>
            </w:r>
            <w:r>
              <w:rPr>
                <w:rFonts w:hint="eastAsia" w:ascii="仿宋" w:hAnsi="仿宋" w:eastAsia="仿宋" w:cs="仿宋"/>
                <w:bCs/>
                <w:sz w:val="28"/>
                <w:szCs w:val="28"/>
                <w:lang w:val="en-US" w:eastAsia="zh-CN"/>
              </w:rPr>
              <w:t>7</w:t>
            </w:r>
            <w:r>
              <w:rPr>
                <w:rFonts w:hint="eastAsia" w:ascii="仿宋" w:hAnsi="仿宋" w:eastAsia="仿宋" w:cs="仿宋"/>
                <w:bCs/>
                <w:sz w:val="28"/>
                <w:szCs w:val="28"/>
              </w:rPr>
              <w:t>.</w:t>
            </w:r>
            <w:r>
              <w:rPr>
                <w:rFonts w:hint="eastAsia" w:ascii="仿宋" w:hAnsi="仿宋" w:eastAsia="仿宋" w:cs="仿宋"/>
                <w:bCs/>
                <w:sz w:val="28"/>
                <w:szCs w:val="28"/>
                <w:lang w:val="en-US" w:eastAsia="zh-CN"/>
              </w:rPr>
              <w:t>5</w:t>
            </w:r>
            <w:r>
              <w:rPr>
                <w:rFonts w:hint="eastAsia" w:ascii="仿宋" w:hAnsi="仿宋" w:eastAsia="仿宋" w:cs="仿宋"/>
                <w:bCs/>
                <w:sz w:val="28"/>
                <w:szCs w:val="28"/>
              </w:rPr>
              <w:t>1-</w:t>
            </w:r>
            <w:r>
              <w:rPr>
                <w:rFonts w:hint="eastAsia" w:ascii="仿宋" w:hAnsi="仿宋" w:eastAsia="仿宋" w:cs="仿宋"/>
                <w:bCs/>
                <w:sz w:val="28"/>
                <w:szCs w:val="28"/>
                <w:lang w:val="en-US" w:eastAsia="zh-CN"/>
              </w:rPr>
              <w:t>9</w:t>
            </w:r>
            <w:r>
              <w:rPr>
                <w:rFonts w:hint="eastAsia" w:ascii="仿宋" w:hAnsi="仿宋" w:eastAsia="仿宋" w:cs="仿宋"/>
                <w:bCs/>
                <w:sz w:val="28"/>
                <w:szCs w:val="28"/>
              </w:rPr>
              <w:t>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第三档，保证措施一般，得</w:t>
            </w:r>
            <w:r>
              <w:rPr>
                <w:rFonts w:hint="eastAsia" w:ascii="仿宋" w:hAnsi="仿宋" w:eastAsia="仿宋" w:cs="仿宋"/>
                <w:bCs/>
                <w:sz w:val="28"/>
                <w:szCs w:val="28"/>
                <w:lang w:val="en-US" w:eastAsia="zh-CN"/>
              </w:rPr>
              <w:t>6</w:t>
            </w:r>
            <w:r>
              <w:rPr>
                <w:rFonts w:hint="eastAsia" w:ascii="仿宋" w:hAnsi="仿宋" w:eastAsia="仿宋" w:cs="仿宋"/>
                <w:bCs/>
                <w:sz w:val="28"/>
                <w:szCs w:val="28"/>
              </w:rPr>
              <w:t>-</w:t>
            </w:r>
            <w:r>
              <w:rPr>
                <w:rFonts w:hint="eastAsia" w:ascii="仿宋" w:hAnsi="仿宋" w:eastAsia="仿宋" w:cs="仿宋"/>
                <w:bCs/>
                <w:sz w:val="28"/>
                <w:szCs w:val="28"/>
                <w:lang w:val="en-US" w:eastAsia="zh-CN"/>
              </w:rPr>
              <w:t>7.5</w:t>
            </w:r>
            <w:r>
              <w:rPr>
                <w:rFonts w:hint="eastAsia" w:ascii="仿宋" w:hAnsi="仿宋" w:eastAsia="仿宋" w:cs="仿宋"/>
                <w:bCs/>
                <w:sz w:val="28"/>
                <w:szCs w:val="28"/>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服务承诺</w:t>
            </w:r>
          </w:p>
        </w:tc>
        <w:tc>
          <w:tcPr>
            <w:tcW w:w="843" w:type="dxa"/>
            <w:noWrap w:val="0"/>
            <w:vAlign w:val="center"/>
          </w:tcPr>
          <w:p>
            <w:pPr>
              <w:snapToGrid w:val="0"/>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10分</w:t>
            </w:r>
          </w:p>
        </w:tc>
        <w:tc>
          <w:tcPr>
            <w:tcW w:w="5978" w:type="dxa"/>
            <w:noWrap w:val="0"/>
            <w:vAlign w:val="center"/>
          </w:tcPr>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第一档，服务承诺系统全面、科学合理，得</w:t>
            </w:r>
            <w:r>
              <w:rPr>
                <w:rFonts w:hint="eastAsia" w:ascii="仿宋" w:hAnsi="仿宋" w:eastAsia="仿宋" w:cs="仿宋"/>
                <w:bCs/>
                <w:sz w:val="28"/>
                <w:szCs w:val="28"/>
                <w:lang w:val="en-US" w:eastAsia="zh-CN"/>
              </w:rPr>
              <w:t>9</w:t>
            </w:r>
            <w:r>
              <w:rPr>
                <w:rFonts w:hint="eastAsia" w:ascii="仿宋" w:hAnsi="仿宋" w:eastAsia="仿宋" w:cs="仿宋"/>
                <w:bCs/>
                <w:sz w:val="28"/>
                <w:szCs w:val="28"/>
              </w:rPr>
              <w:t>.01-10分；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第二档，服务承诺较完整、较科学，得</w:t>
            </w:r>
            <w:r>
              <w:rPr>
                <w:rFonts w:hint="eastAsia" w:ascii="仿宋" w:hAnsi="仿宋" w:eastAsia="仿宋" w:cs="仿宋"/>
                <w:bCs/>
                <w:sz w:val="28"/>
                <w:szCs w:val="28"/>
                <w:lang w:val="en-US" w:eastAsia="zh-CN"/>
              </w:rPr>
              <w:t>7</w:t>
            </w:r>
            <w:r>
              <w:rPr>
                <w:rFonts w:hint="eastAsia" w:ascii="仿宋" w:hAnsi="仿宋" w:eastAsia="仿宋" w:cs="仿宋"/>
                <w:bCs/>
                <w:sz w:val="28"/>
                <w:szCs w:val="28"/>
              </w:rPr>
              <w:t>.</w:t>
            </w:r>
            <w:r>
              <w:rPr>
                <w:rFonts w:hint="eastAsia" w:ascii="仿宋" w:hAnsi="仿宋" w:eastAsia="仿宋" w:cs="仿宋"/>
                <w:bCs/>
                <w:sz w:val="28"/>
                <w:szCs w:val="28"/>
                <w:lang w:val="en-US" w:eastAsia="zh-CN"/>
              </w:rPr>
              <w:t>5</w:t>
            </w:r>
            <w:r>
              <w:rPr>
                <w:rFonts w:hint="eastAsia" w:ascii="仿宋" w:hAnsi="仿宋" w:eastAsia="仿宋" w:cs="仿宋"/>
                <w:bCs/>
                <w:sz w:val="28"/>
                <w:szCs w:val="28"/>
              </w:rPr>
              <w:t>1-</w:t>
            </w:r>
            <w:r>
              <w:rPr>
                <w:rFonts w:hint="eastAsia" w:ascii="仿宋" w:hAnsi="仿宋" w:eastAsia="仿宋" w:cs="仿宋"/>
                <w:bCs/>
                <w:sz w:val="28"/>
                <w:szCs w:val="28"/>
                <w:lang w:val="en-US" w:eastAsia="zh-CN"/>
              </w:rPr>
              <w:t>9</w:t>
            </w:r>
            <w:r>
              <w:rPr>
                <w:rFonts w:hint="eastAsia" w:ascii="仿宋" w:hAnsi="仿宋" w:eastAsia="仿宋" w:cs="仿宋"/>
                <w:bCs/>
                <w:sz w:val="28"/>
                <w:szCs w:val="28"/>
              </w:rPr>
              <w:t>分；</w:t>
            </w:r>
          </w:p>
          <w:p>
            <w:pPr>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第三档，服务承诺不完整或不尽合理，得</w:t>
            </w:r>
            <w:r>
              <w:rPr>
                <w:rFonts w:hint="eastAsia" w:ascii="仿宋" w:hAnsi="仿宋" w:eastAsia="仿宋" w:cs="仿宋"/>
                <w:bCs/>
                <w:sz w:val="28"/>
                <w:szCs w:val="28"/>
                <w:lang w:val="en-US" w:eastAsia="zh-CN"/>
              </w:rPr>
              <w:t>6</w:t>
            </w:r>
            <w:r>
              <w:rPr>
                <w:rFonts w:hint="eastAsia" w:ascii="仿宋" w:hAnsi="仿宋" w:eastAsia="仿宋" w:cs="仿宋"/>
                <w:bCs/>
                <w:sz w:val="28"/>
                <w:szCs w:val="28"/>
              </w:rPr>
              <w:t>-</w:t>
            </w:r>
            <w:r>
              <w:rPr>
                <w:rFonts w:hint="eastAsia" w:ascii="仿宋" w:hAnsi="仿宋" w:eastAsia="仿宋" w:cs="仿宋"/>
                <w:bCs/>
                <w:sz w:val="28"/>
                <w:szCs w:val="28"/>
                <w:lang w:val="en-US" w:eastAsia="zh-CN"/>
              </w:rPr>
              <w:t>7.5</w:t>
            </w:r>
            <w:r>
              <w:rPr>
                <w:rFonts w:hint="eastAsia" w:ascii="仿宋" w:hAnsi="仿宋" w:eastAsia="仿宋" w:cs="仿宋"/>
                <w:bCs/>
                <w:sz w:val="28"/>
                <w:szCs w:val="28"/>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tcBorders>
              <w:right w:val="single" w:color="auto" w:sz="2" w:space="0"/>
            </w:tcBorders>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2154" w:type="dxa"/>
            <w:gridSpan w:val="2"/>
            <w:tcBorders>
              <w:left w:val="single" w:color="auto" w:sz="2" w:space="0"/>
            </w:tcBorders>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评标价</w:t>
            </w:r>
          </w:p>
        </w:tc>
        <w:tc>
          <w:tcPr>
            <w:tcW w:w="84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10分</w:t>
            </w:r>
          </w:p>
        </w:tc>
        <w:tc>
          <w:tcPr>
            <w:tcW w:w="5978" w:type="dxa"/>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评标价得分计算公式示例：</w:t>
            </w:r>
          </w:p>
          <w:p>
            <w:pPr>
              <w:spacing w:line="400" w:lineRule="exact"/>
              <w:ind w:firstLine="324" w:firstLineChars="116"/>
              <w:rPr>
                <w:rFonts w:hint="eastAsia" w:ascii="仿宋" w:hAnsi="仿宋" w:eastAsia="仿宋" w:cs="仿宋"/>
                <w:sz w:val="28"/>
                <w:szCs w:val="28"/>
              </w:rPr>
            </w:pPr>
            <w:r>
              <w:rPr>
                <w:rFonts w:hint="eastAsia" w:ascii="仿宋" w:hAnsi="仿宋" w:eastAsia="仿宋" w:cs="仿宋"/>
                <w:sz w:val="28"/>
                <w:szCs w:val="28"/>
              </w:rPr>
              <w:t>（1）如果投标人的评标价＞评标基准价，则评标价得分=F-（投标人评标价-评标基准价）/评标基准价×100×E1；</w:t>
            </w:r>
          </w:p>
          <w:p>
            <w:pPr>
              <w:spacing w:line="400" w:lineRule="exact"/>
              <w:ind w:firstLine="324" w:firstLineChars="116"/>
              <w:rPr>
                <w:rFonts w:hint="eastAsia" w:ascii="仿宋" w:hAnsi="仿宋" w:eastAsia="仿宋" w:cs="仿宋"/>
                <w:sz w:val="28"/>
                <w:szCs w:val="28"/>
              </w:rPr>
            </w:pPr>
            <w:r>
              <w:rPr>
                <w:rFonts w:hint="eastAsia" w:ascii="仿宋" w:hAnsi="仿宋" w:eastAsia="仿宋" w:cs="仿宋"/>
                <w:sz w:val="28"/>
                <w:szCs w:val="28"/>
              </w:rPr>
              <w:t>（2）如果投标人的评标价≤评标基准价，则评标价得分=F+(投标人评标价-评标基准价)/评标基准价×100×E2。</w:t>
            </w:r>
          </w:p>
          <w:p>
            <w:pPr>
              <w:spacing w:line="400" w:lineRule="exact"/>
              <w:ind w:firstLine="324" w:firstLineChars="116"/>
              <w:rPr>
                <w:rFonts w:hint="eastAsia" w:ascii="仿宋" w:hAnsi="仿宋" w:eastAsia="仿宋" w:cs="仿宋"/>
                <w:bCs/>
                <w:sz w:val="28"/>
                <w:szCs w:val="28"/>
              </w:rPr>
            </w:pPr>
            <w:r>
              <w:rPr>
                <w:rFonts w:hint="eastAsia" w:ascii="仿宋" w:hAnsi="仿宋" w:eastAsia="仿宋" w:cs="仿宋"/>
                <w:sz w:val="28"/>
                <w:szCs w:val="28"/>
              </w:rPr>
              <w:t>其中，F=10；</w:t>
            </w:r>
            <w:r>
              <w:rPr>
                <w:rFonts w:hint="eastAsia" w:ascii="仿宋" w:hAnsi="仿宋" w:eastAsia="仿宋" w:cs="仿宋"/>
                <w:sz w:val="28"/>
                <w:szCs w:val="28"/>
                <w:highlight w:val="none"/>
              </w:rPr>
              <w:t>E1=0.</w:t>
            </w:r>
            <w:r>
              <w:rPr>
                <w:rFonts w:ascii="仿宋" w:hAnsi="仿宋" w:eastAsia="仿宋" w:cs="仿宋"/>
                <w:sz w:val="28"/>
                <w:szCs w:val="28"/>
                <w:highlight w:val="none"/>
              </w:rPr>
              <w:t>2</w:t>
            </w:r>
            <w:r>
              <w:rPr>
                <w:rFonts w:hint="eastAsia" w:ascii="仿宋" w:hAnsi="仿宋" w:eastAsia="仿宋" w:cs="仿宋"/>
                <w:sz w:val="28"/>
                <w:szCs w:val="28"/>
                <w:highlight w:val="none"/>
              </w:rPr>
              <w:t>；E2=0.</w:t>
            </w:r>
            <w:r>
              <w:rPr>
                <w:rFonts w:ascii="仿宋" w:hAnsi="仿宋" w:eastAsia="仿宋" w:cs="仿宋"/>
                <w:sz w:val="28"/>
                <w:szCs w:val="28"/>
                <w:highlight w:val="none"/>
              </w:rPr>
              <w:t>1</w:t>
            </w:r>
            <w:r>
              <w:rPr>
                <w:rFonts w:hint="eastAsia" w:ascii="仿宋" w:hAnsi="仿宋" w:eastAsia="仿宋" w:cs="仿宋"/>
                <w:sz w:val="28"/>
                <w:szCs w:val="28"/>
                <w:highlight w:val="none"/>
              </w:rPr>
              <w:t>；</w:t>
            </w:r>
            <w:r>
              <w:rPr>
                <w:rFonts w:hint="eastAsia" w:ascii="仿宋" w:hAnsi="仿宋" w:eastAsia="仿宋" w:cs="仿宋"/>
                <w:sz w:val="28"/>
                <w:szCs w:val="28"/>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2889" w:type="dxa"/>
            <w:gridSpan w:val="3"/>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合计</w:t>
            </w:r>
          </w:p>
        </w:tc>
        <w:tc>
          <w:tcPr>
            <w:tcW w:w="843"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100分</w:t>
            </w:r>
          </w:p>
        </w:tc>
        <w:tc>
          <w:tcPr>
            <w:tcW w:w="5978" w:type="dxa"/>
            <w:noWrap w:val="0"/>
            <w:vAlign w:val="center"/>
          </w:tcPr>
          <w:p>
            <w:pPr>
              <w:spacing w:line="400" w:lineRule="exact"/>
              <w:jc w:val="center"/>
              <w:rPr>
                <w:rFonts w:hint="eastAsia" w:ascii="仿宋" w:hAnsi="仿宋" w:eastAsia="仿宋" w:cs="仿宋"/>
                <w:bCs/>
                <w:sz w:val="28"/>
                <w:szCs w:val="28"/>
              </w:rPr>
            </w:pPr>
          </w:p>
        </w:tc>
      </w:tr>
    </w:tbl>
    <w:p>
      <w:pPr>
        <w:widowControl/>
        <w:snapToGrid w:val="0"/>
        <w:spacing w:line="300" w:lineRule="auto"/>
        <w:jc w:val="left"/>
        <w:rPr>
          <w:rFonts w:hint="eastAsia" w:ascii="仿宋" w:hAnsi="仿宋" w:eastAsia="仿宋" w:cs="仿宋"/>
          <w:sz w:val="28"/>
          <w:szCs w:val="32"/>
        </w:rPr>
      </w:pPr>
      <w:r>
        <w:rPr>
          <w:rFonts w:hint="eastAsia" w:ascii="仿宋" w:hAnsi="仿宋" w:eastAsia="仿宋" w:cs="仿宋"/>
          <w:color w:val="000000"/>
          <w:kern w:val="0"/>
          <w:sz w:val="28"/>
          <w:szCs w:val="28"/>
          <w:lang w:bidi="ar"/>
        </w:rPr>
        <w:t>注：1、各评分因素得分应以评标委员会各成员的打分平均值确定，保留两位小数，第三位四舍五入。</w:t>
      </w:r>
    </w:p>
    <w:p>
      <w:r>
        <w:rPr>
          <w:rFonts w:hint="eastAsia" w:ascii="仿宋" w:hAnsi="仿宋" w:eastAsia="仿宋" w:cs="仿宋"/>
          <w:color w:val="000000"/>
          <w:kern w:val="0"/>
          <w:sz w:val="28"/>
          <w:szCs w:val="28"/>
          <w:lang w:bidi="ar"/>
        </w:rPr>
        <w:t>2、</w:t>
      </w:r>
      <w:r>
        <w:rPr>
          <w:rFonts w:hint="eastAsia" w:ascii="仿宋" w:hAnsi="仿宋" w:eastAsia="仿宋" w:cs="仿宋"/>
          <w:kern w:val="0"/>
          <w:sz w:val="28"/>
          <w:szCs w:val="28"/>
        </w:rPr>
        <w:t>服务方案</w:t>
      </w:r>
      <w:r>
        <w:rPr>
          <w:rFonts w:hint="eastAsia" w:ascii="仿宋" w:hAnsi="仿宋" w:eastAsia="仿宋" w:cs="仿宋"/>
          <w:color w:val="000000"/>
          <w:kern w:val="0"/>
          <w:sz w:val="28"/>
          <w:szCs w:val="28"/>
          <w:lang w:bidi="ar"/>
        </w:rPr>
        <w:t>评分因素细分项存在缺项的，则该项计0分</w:t>
      </w:r>
      <w:r>
        <w:rPr>
          <w:rFonts w:hint="eastAsia" w:ascii="仿宋" w:hAnsi="仿宋" w:eastAsia="仿宋" w:cs="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标宋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A820711"/>
    <w:rsid w:val="1CB27FA1"/>
    <w:rsid w:val="1ECA27B9"/>
    <w:rsid w:val="234D5C6E"/>
    <w:rsid w:val="288647C5"/>
    <w:rsid w:val="4D8D71DA"/>
    <w:rsid w:val="5A820711"/>
    <w:rsid w:val="63583743"/>
    <w:rsid w:val="6C7B2442"/>
    <w:rsid w:val="7D1A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paragraph" w:styleId="4">
    <w:name w:val="heading 1"/>
    <w:basedOn w:val="1"/>
    <w:next w:val="1"/>
    <w:qFormat/>
    <w:uiPriority w:val="0"/>
    <w:pPr>
      <w:keepNext/>
      <w:spacing w:line="300" w:lineRule="auto"/>
      <w:jc w:val="center"/>
      <w:outlineLvl w:val="0"/>
    </w:pPr>
    <w:rPr>
      <w:rFonts w:ascii="标宋体" w:hAnsi="Times New Roman" w:eastAsia="宋体"/>
      <w:kern w:val="0"/>
      <w:sz w:val="28"/>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styleId="3">
    <w:name w:val="Plain Text"/>
    <w:basedOn w:val="1"/>
    <w:next w:val="1"/>
    <w:qFormat/>
    <w:uiPriority w:val="99"/>
    <w:rPr>
      <w:rFonts w:ascii="宋体" w:hAnsi="Courier New" w:eastAsia="宋体"/>
      <w:kern w:val="0"/>
      <w:sz w:val="20"/>
      <w:szCs w:val="20"/>
    </w:rPr>
  </w:style>
  <w:style w:type="paragraph" w:styleId="5">
    <w:name w:val="Body Text"/>
    <w:basedOn w:val="1"/>
    <w:next w:val="6"/>
    <w:qFormat/>
    <w:uiPriority w:val="0"/>
    <w:rPr>
      <w:rFonts w:ascii="Times New Roman" w:hAnsi="Times New Roman" w:eastAsia="宋体"/>
      <w:kern w:val="0"/>
      <w:sz w:val="28"/>
      <w:szCs w:val="24"/>
    </w:rPr>
  </w:style>
  <w:style w:type="paragraph" w:styleId="6">
    <w:name w:val="Body Text 2"/>
    <w:basedOn w:val="1"/>
    <w:next w:val="1"/>
    <w:unhideWhenUsed/>
    <w:qFormat/>
    <w:uiPriority w:val="99"/>
    <w:pPr>
      <w:spacing w:after="120" w:line="480" w:lineRule="auto"/>
    </w:pPr>
  </w:style>
  <w:style w:type="paragraph" w:styleId="7">
    <w:name w:val="Body Text Indent"/>
    <w:basedOn w:val="1"/>
    <w:next w:val="8"/>
    <w:qFormat/>
    <w:uiPriority w:val="0"/>
    <w:pPr>
      <w:ind w:firstLine="480"/>
    </w:pPr>
    <w:rPr>
      <w:rFonts w:ascii="Times New Roman" w:hAnsi="Times New Roman" w:eastAsia="宋体"/>
      <w:kern w:val="0"/>
      <w:sz w:val="24"/>
      <w:szCs w:val="20"/>
    </w:rPr>
  </w:style>
  <w:style w:type="paragraph" w:styleId="8">
    <w:name w:val="envelope return"/>
    <w:basedOn w:val="1"/>
    <w:qFormat/>
    <w:uiPriority w:val="0"/>
    <w:pPr>
      <w:snapToGrid w:val="0"/>
    </w:pPr>
    <w:rPr>
      <w:rFonts w:ascii="Arial" w:hAnsi="Arial"/>
    </w:rPr>
  </w:style>
  <w:style w:type="paragraph" w:styleId="9">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10">
    <w:name w:val="Body Text First Indent 2"/>
    <w:basedOn w:val="7"/>
    <w:next w:val="9"/>
    <w:qFormat/>
    <w:uiPriority w:val="99"/>
    <w:pPr>
      <w:ind w:firstLine="420" w:firstLineChars="200"/>
    </w:pPr>
    <w:rPr>
      <w:color w:val="000000"/>
    </w:rPr>
  </w:style>
  <w:style w:type="character" w:customStyle="1" w:styleId="13">
    <w:name w:val="NormalCharacter"/>
    <w:qFormat/>
    <w:uiPriority w:val="0"/>
    <w:rPr>
      <w:rFonts w:ascii="Times New Roman" w:hAnsi="Times New Roman" w:eastAsia="宋体" w:cs="Times New Roman"/>
    </w:rPr>
  </w:style>
  <w:style w:type="character" w:customStyle="1" w:styleId="14">
    <w:name w:val="目录4 Char"/>
    <w:qFormat/>
    <w:uiPriority w:val="0"/>
    <w:rPr>
      <w:rFonts w:ascii="黑体" w:eastAsia="黑体"/>
      <w:kern w:val="2"/>
      <w:sz w:val="24"/>
      <w:szCs w:val="24"/>
      <w:lang w:val="en-US" w:eastAsia="zh-CN" w:bidi="ar-SA"/>
    </w:rPr>
  </w:style>
  <w:style w:type="character" w:customStyle="1" w:styleId="15">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4688</Words>
  <Characters>5156</Characters>
  <Lines>0</Lines>
  <Paragraphs>0</Paragraphs>
  <TotalTime>19</TotalTime>
  <ScaleCrop>false</ScaleCrop>
  <LinksUpToDate>false</LinksUpToDate>
  <CharactersWithSpaces>5235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2022-12-13T05:29:00Z</dcterms:created>
  <dc:creator>Administrator</dc:creator>
  <cp:lastModifiedBy>AOWEN</cp:lastModifiedBy>
  <dcterms:modified xsi:type="dcterms:W3CDTF">2022-12-14T01:48:48Z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2EB40E2AEAD044D799F27F12E7B7CADB</vt:lpwstr>
  </property>
</Properties>
</file>